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717"/>
        <w:gridCol w:w="12258"/>
        <w:gridCol w:w="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189"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717" w:type="dxa"/>
            <w:vMerge w:val="restart"/>
            <w:vAlign w:val="center"/>
          </w:tcPr>
          <w:p>
            <w:pPr>
              <w:rPr>
                <w:sz w:val="24"/>
                <w:szCs w:val="24"/>
              </w:rPr>
            </w:pPr>
            <w:r>
              <w:rPr>
                <w:rFonts w:hint="eastAsia"/>
                <w:sz w:val="24"/>
                <w:szCs w:val="24"/>
              </w:rPr>
              <w:t>涉及</w:t>
            </w:r>
          </w:p>
          <w:p>
            <w:r>
              <w:rPr>
                <w:rFonts w:hint="eastAsia"/>
                <w:sz w:val="24"/>
                <w:szCs w:val="24"/>
              </w:rPr>
              <w:t>条款</w:t>
            </w:r>
          </w:p>
        </w:tc>
        <w:tc>
          <w:tcPr>
            <w:tcW w:w="12258"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管理层            </w:t>
            </w:r>
            <w:r>
              <w:rPr>
                <w:rFonts w:hint="eastAsia"/>
                <w:sz w:val="24"/>
                <w:szCs w:val="24"/>
              </w:rPr>
              <w:t>主管领导：</w:t>
            </w:r>
            <w:r>
              <w:rPr>
                <w:rFonts w:hint="eastAsia"/>
                <w:sz w:val="24"/>
                <w:szCs w:val="24"/>
                <w:lang w:eastAsia="zh-CN"/>
              </w:rPr>
              <w:t>卢峰、</w:t>
            </w:r>
            <w:r>
              <w:rPr>
                <w:rFonts w:hint="eastAsia"/>
                <w:sz w:val="24"/>
                <w:szCs w:val="24"/>
                <w:lang w:val="en-US" w:eastAsia="zh-CN"/>
              </w:rPr>
              <w:t xml:space="preserve">相鹏飞              </w:t>
            </w:r>
            <w:r>
              <w:rPr>
                <w:rFonts w:hint="eastAsia"/>
                <w:sz w:val="24"/>
                <w:szCs w:val="24"/>
              </w:rPr>
              <w:t>陪同人员：</w:t>
            </w:r>
            <w:r>
              <w:rPr>
                <w:rFonts w:hint="eastAsia"/>
                <w:sz w:val="24"/>
                <w:szCs w:val="24"/>
                <w:lang w:val="en-US" w:eastAsia="zh-CN"/>
              </w:rPr>
              <w:t>张启贵</w:t>
            </w:r>
          </w:p>
        </w:tc>
        <w:tc>
          <w:tcPr>
            <w:tcW w:w="730"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189" w:type="dxa"/>
            <w:vMerge w:val="continue"/>
            <w:vAlign w:val="center"/>
          </w:tcPr>
          <w:p/>
        </w:tc>
        <w:tc>
          <w:tcPr>
            <w:tcW w:w="717" w:type="dxa"/>
            <w:vMerge w:val="continue"/>
            <w:vAlign w:val="center"/>
          </w:tcPr>
          <w:p/>
        </w:tc>
        <w:tc>
          <w:tcPr>
            <w:tcW w:w="12258" w:type="dxa"/>
            <w:vAlign w:val="center"/>
          </w:tcPr>
          <w:p>
            <w:pPr>
              <w:spacing w:before="120"/>
            </w:pPr>
            <w:r>
              <w:rPr>
                <w:rFonts w:hint="eastAsia"/>
                <w:sz w:val="24"/>
                <w:szCs w:val="24"/>
              </w:rPr>
              <w:t>审核员：</w:t>
            </w:r>
            <w:bookmarkStart w:id="0" w:name="审核组成员不含组长"/>
            <w:r>
              <w:rPr>
                <w:rFonts w:hint="eastAsia"/>
                <w:sz w:val="24"/>
                <w:szCs w:val="24"/>
                <w:lang w:val="en-US" w:eastAsia="zh-CN"/>
              </w:rPr>
              <w:t>汪桂丽、</w:t>
            </w:r>
            <w:bookmarkEnd w:id="0"/>
            <w:r>
              <w:rPr>
                <w:rFonts w:hint="eastAsia"/>
                <w:sz w:val="24"/>
                <w:szCs w:val="24"/>
                <w:lang w:eastAsia="zh-CN"/>
              </w:rPr>
              <w:t>杨尧耀</w:t>
            </w:r>
            <w:r>
              <w:rPr>
                <w:rFonts w:hint="eastAsia"/>
                <w:sz w:val="24"/>
                <w:szCs w:val="24"/>
                <w:lang w:val="en-US" w:eastAsia="zh-CN"/>
              </w:rPr>
              <w:t xml:space="preserve">        </w:t>
            </w:r>
            <w:r>
              <w:rPr>
                <w:rFonts w:hint="eastAsia"/>
                <w:sz w:val="24"/>
                <w:szCs w:val="24"/>
              </w:rPr>
              <w:t>审核时间：</w:t>
            </w:r>
            <w:bookmarkStart w:id="1" w:name="审核日期"/>
            <w:r>
              <w:t>202</w:t>
            </w:r>
            <w:r>
              <w:rPr>
                <w:rFonts w:hint="eastAsia"/>
                <w:lang w:val="en-US" w:eastAsia="zh-CN"/>
              </w:rPr>
              <w:t>2</w:t>
            </w:r>
            <w:r>
              <w:t>年2月</w:t>
            </w:r>
            <w:r>
              <w:rPr>
                <w:rFonts w:hint="eastAsia"/>
                <w:lang w:val="en-US" w:eastAsia="zh-CN"/>
              </w:rPr>
              <w:t>28</w:t>
            </w:r>
            <w:r>
              <w:t>日 下午</w:t>
            </w:r>
            <w:bookmarkEnd w:id="1"/>
          </w:p>
        </w:tc>
        <w:tc>
          <w:tcPr>
            <w:tcW w:w="73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189" w:type="dxa"/>
            <w:vMerge w:val="continue"/>
            <w:vAlign w:val="center"/>
          </w:tcPr>
          <w:p/>
        </w:tc>
        <w:tc>
          <w:tcPr>
            <w:tcW w:w="717" w:type="dxa"/>
            <w:vMerge w:val="continue"/>
            <w:vAlign w:val="center"/>
          </w:tcPr>
          <w:p/>
        </w:tc>
        <w:tc>
          <w:tcPr>
            <w:tcW w:w="12258" w:type="dxa"/>
            <w:vAlign w:val="center"/>
          </w:tcPr>
          <w:p>
            <w:pPr>
              <w:rPr>
                <w:rFonts w:hint="eastAsia"/>
              </w:rPr>
            </w:pPr>
            <w:r>
              <w:rPr>
                <w:rFonts w:hint="eastAsia"/>
              </w:rPr>
              <w:t>审核条款：</w:t>
            </w:r>
          </w:p>
          <w:p>
            <w:pPr>
              <w:adjustRightInd w:val="0"/>
              <w:snapToGrid w:val="0"/>
              <w:ind w:right="105" w:rightChars="50"/>
              <w:textAlignment w:val="baseline"/>
              <w:rPr>
                <w:rFonts w:ascii="宋体" w:hAnsi="宋体" w:cs="Arial"/>
                <w:spacing w:val="-6"/>
                <w:sz w:val="21"/>
                <w:szCs w:val="21"/>
              </w:rPr>
            </w:pPr>
            <w:r>
              <w:rPr>
                <w:rFonts w:hint="eastAsia" w:ascii="宋体" w:hAnsi="宋体" w:cs="Arial"/>
                <w:spacing w:val="-6"/>
                <w:sz w:val="21"/>
                <w:szCs w:val="21"/>
              </w:rPr>
              <w:t>4.1理解组织及其环境、4.2理解相关方的需求和期望、4.3 确定管理体系的范围、4.4</w:t>
            </w:r>
            <w:r>
              <w:rPr>
                <w:rFonts w:hint="eastAsia" w:ascii="宋体" w:hAnsi="宋体" w:cs="Arial"/>
                <w:spacing w:val="-6"/>
                <w:sz w:val="21"/>
                <w:szCs w:val="21"/>
                <w:lang w:eastAsia="zh-CN"/>
              </w:rPr>
              <w:t>质量</w:t>
            </w:r>
            <w:r>
              <w:rPr>
                <w:rFonts w:hint="eastAsia" w:ascii="宋体" w:hAnsi="宋体" w:cs="Arial"/>
                <w:spacing w:val="-6"/>
                <w:sz w:val="21"/>
                <w:szCs w:val="21"/>
              </w:rPr>
              <w:t>管理体系及其过程、5.1领导作用和承诺、5.2</w:t>
            </w:r>
            <w:r>
              <w:rPr>
                <w:rFonts w:hint="eastAsia" w:ascii="宋体" w:hAnsi="宋体" w:cs="Arial"/>
                <w:spacing w:val="-6"/>
                <w:sz w:val="21"/>
                <w:szCs w:val="21"/>
                <w:lang w:eastAsia="zh-CN"/>
              </w:rPr>
              <w:t>质量</w:t>
            </w:r>
            <w:r>
              <w:rPr>
                <w:rFonts w:hint="eastAsia" w:ascii="宋体" w:hAnsi="宋体" w:cs="Arial"/>
                <w:spacing w:val="-6"/>
                <w:sz w:val="21"/>
                <w:szCs w:val="21"/>
              </w:rPr>
              <w:t>方针、5.3组织的岗位、职责和权限、6.1应对风险和机遇的措施、6.2</w:t>
            </w:r>
            <w:r>
              <w:rPr>
                <w:rFonts w:hint="eastAsia" w:ascii="宋体" w:hAnsi="宋体" w:cs="Arial"/>
                <w:spacing w:val="-6"/>
                <w:sz w:val="21"/>
                <w:szCs w:val="21"/>
                <w:lang w:eastAsia="zh-CN"/>
              </w:rPr>
              <w:t>质量</w:t>
            </w:r>
            <w:r>
              <w:rPr>
                <w:rFonts w:hint="eastAsia" w:ascii="宋体" w:hAnsi="宋体" w:cs="Arial"/>
                <w:spacing w:val="-6"/>
                <w:sz w:val="21"/>
                <w:szCs w:val="21"/>
              </w:rPr>
              <w:t>目标及其实现的策划、6.3变更的策划、7.1.1资源总则、7.4沟通、9.3管理评审、10.1改进、10.3持续改进</w:t>
            </w:r>
          </w:p>
          <w:p>
            <w:pPr>
              <w:ind w:firstLine="396" w:firstLineChars="200"/>
            </w:pPr>
            <w:r>
              <w:rPr>
                <w:rFonts w:hint="eastAsia" w:ascii="宋体" w:hAnsi="宋体" w:cs="Arial"/>
                <w:spacing w:val="-6"/>
                <w:sz w:val="21"/>
                <w:szCs w:val="21"/>
              </w:rPr>
              <w:t>国家/地方监督抽查情况；顾客满意、相关方投诉及处理情况；上次审核不符合验证，变更，验证企业相关资质证明的有效性；</w:t>
            </w:r>
          </w:p>
        </w:tc>
        <w:tc>
          <w:tcPr>
            <w:tcW w:w="73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189" w:type="dxa"/>
            <w:vAlign w:val="top"/>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理解组织及其环境</w:t>
            </w:r>
          </w:p>
          <w:p>
            <w:pPr>
              <w:spacing w:line="280" w:lineRule="exact"/>
              <w:rPr>
                <w:rFonts w:cs="宋体" w:asciiTheme="minorEastAsia" w:hAnsiTheme="minorEastAsia" w:eastAsiaTheme="minorEastAsia"/>
                <w:szCs w:val="21"/>
              </w:rPr>
            </w:pPr>
          </w:p>
          <w:p>
            <w:pPr>
              <w:spacing w:line="280" w:lineRule="exact"/>
              <w:rPr>
                <w:rFonts w:cs="宋体" w:asciiTheme="minorEastAsia" w:hAnsiTheme="minorEastAsia" w:eastAsiaTheme="minorEastAsia"/>
                <w:kern w:val="2"/>
                <w:sz w:val="24"/>
                <w:szCs w:val="24"/>
                <w:lang w:val="en-US" w:eastAsia="zh-CN" w:bidi="ar-SA"/>
              </w:rPr>
            </w:pPr>
          </w:p>
        </w:tc>
        <w:tc>
          <w:tcPr>
            <w:tcW w:w="717" w:type="dxa"/>
            <w:vAlign w:val="top"/>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4.1</w:t>
            </w:r>
          </w:p>
          <w:p>
            <w:pPr>
              <w:spacing w:line="280" w:lineRule="exact"/>
              <w:rPr>
                <w:rFonts w:cs="宋体" w:asciiTheme="minorEastAsia" w:hAnsiTheme="minorEastAsia" w:eastAsiaTheme="minorEastAsia"/>
                <w:kern w:val="2"/>
                <w:sz w:val="24"/>
                <w:szCs w:val="24"/>
                <w:lang w:val="en-US" w:eastAsia="zh-CN" w:bidi="ar-SA"/>
              </w:rPr>
            </w:pPr>
          </w:p>
        </w:tc>
        <w:tc>
          <w:tcPr>
            <w:tcW w:w="12258" w:type="dxa"/>
            <w:vAlign w:val="center"/>
          </w:tcPr>
          <w:p>
            <w:pPr>
              <w:spacing w:line="280" w:lineRule="exact"/>
              <w:ind w:firstLine="420" w:firstLineChars="200"/>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rPr>
              <w:t>公司高层领导</w:t>
            </w:r>
            <w:r>
              <w:rPr>
                <w:rFonts w:hint="eastAsia" w:cs="宋体" w:asciiTheme="minorEastAsia" w:hAnsiTheme="minorEastAsia" w:eastAsiaTheme="minorEastAsia"/>
                <w:sz w:val="21"/>
                <w:szCs w:val="21"/>
                <w:lang w:eastAsia="zh-CN"/>
              </w:rPr>
              <w:t>：</w:t>
            </w:r>
            <w:r>
              <w:rPr>
                <w:rFonts w:hint="eastAsia" w:cs="宋体" w:asciiTheme="minorEastAsia" w:hAnsiTheme="minorEastAsia" w:eastAsiaTheme="minorEastAsia"/>
                <w:sz w:val="21"/>
                <w:szCs w:val="21"/>
                <w:lang w:val="en-US" w:eastAsia="zh-CN"/>
              </w:rPr>
              <w:t>设置</w:t>
            </w:r>
            <w:r>
              <w:rPr>
                <w:rFonts w:hint="eastAsia" w:cs="宋体" w:asciiTheme="minorEastAsia" w:hAnsiTheme="minorEastAsia" w:eastAsiaTheme="minorEastAsia"/>
                <w:sz w:val="21"/>
                <w:szCs w:val="21"/>
              </w:rPr>
              <w:t>总经理</w:t>
            </w:r>
            <w:r>
              <w:rPr>
                <w:rFonts w:hint="eastAsia" w:cs="宋体" w:asciiTheme="minorEastAsia" w:hAnsiTheme="minorEastAsia" w:eastAsiaTheme="minorEastAsia"/>
                <w:sz w:val="21"/>
                <w:szCs w:val="21"/>
                <w:lang w:val="en-US" w:eastAsia="zh-CN"/>
              </w:rPr>
              <w:t>及管理者代表，有管理者代表任命2021年9月1日，有任命书；</w:t>
            </w:r>
          </w:p>
          <w:p>
            <w:pPr>
              <w:spacing w:line="280" w:lineRule="exact"/>
              <w:ind w:firstLine="420" w:firstLineChars="200"/>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rPr>
              <w:t>提供营业执照在有效期内，地址和实际一致，包含认证范围</w:t>
            </w:r>
            <w:r>
              <w:rPr>
                <w:rFonts w:hint="eastAsia" w:cs="宋体" w:asciiTheme="minorEastAsia" w:hAnsiTheme="minorEastAsia" w:eastAsiaTheme="minorEastAsia"/>
                <w:sz w:val="21"/>
                <w:szCs w:val="21"/>
                <w:lang w:eastAsia="zh-CN"/>
              </w:rPr>
              <w:t>；</w:t>
            </w:r>
          </w:p>
          <w:p>
            <w:pPr>
              <w:spacing w:line="280" w:lineRule="exact"/>
              <w:ind w:firstLine="420" w:firstLineChars="200"/>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rPr>
              <w:t>认证范围确定为：</w:t>
            </w:r>
            <w:r>
              <w:rPr>
                <w:rFonts w:hint="eastAsia" w:cs="宋体" w:asciiTheme="minorEastAsia" w:hAnsiTheme="minorEastAsia" w:eastAsiaTheme="minorEastAsia"/>
                <w:sz w:val="21"/>
                <w:szCs w:val="21"/>
                <w:lang w:eastAsia="zh-CN"/>
              </w:rPr>
              <w:t>人力手推车、车载行李架及五金附件的生产</w:t>
            </w:r>
          </w:p>
          <w:p>
            <w:pPr>
              <w:spacing w:line="280" w:lineRule="exact"/>
              <w:ind w:firstLine="420" w:firstLineChars="200"/>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rPr>
              <w:t>管理体系设置了管理层、</w:t>
            </w:r>
            <w:r>
              <w:rPr>
                <w:rFonts w:hint="eastAsia" w:cs="宋体" w:asciiTheme="minorEastAsia" w:hAnsiTheme="minorEastAsia" w:eastAsiaTheme="minorEastAsia"/>
                <w:sz w:val="21"/>
                <w:szCs w:val="21"/>
                <w:lang w:val="en-US" w:eastAsia="zh-CN"/>
              </w:rPr>
              <w:t>出口部、</w:t>
            </w:r>
            <w:r>
              <w:rPr>
                <w:rFonts w:hint="eastAsia" w:cs="宋体" w:asciiTheme="minorEastAsia" w:hAnsiTheme="minorEastAsia" w:eastAsiaTheme="minorEastAsia"/>
                <w:sz w:val="21"/>
                <w:szCs w:val="21"/>
                <w:lang w:eastAsia="zh-CN"/>
              </w:rPr>
              <w:t>生技部、</w:t>
            </w:r>
            <w:r>
              <w:rPr>
                <w:rFonts w:hint="eastAsia" w:cs="宋体" w:asciiTheme="minorEastAsia" w:hAnsiTheme="minorEastAsia" w:eastAsiaTheme="minorEastAsia"/>
                <w:sz w:val="21"/>
                <w:szCs w:val="21"/>
                <w:lang w:val="en-US" w:eastAsia="zh-CN"/>
              </w:rPr>
              <w:t>品管部、综合部，明确</w:t>
            </w:r>
            <w:r>
              <w:rPr>
                <w:rFonts w:hint="eastAsia" w:cs="宋体" w:asciiTheme="minorEastAsia" w:hAnsiTheme="minorEastAsia" w:eastAsiaTheme="minorEastAsia"/>
                <w:sz w:val="21"/>
                <w:szCs w:val="21"/>
              </w:rPr>
              <w:t>部门职责</w:t>
            </w:r>
            <w:r>
              <w:rPr>
                <w:rFonts w:hint="eastAsia" w:cs="宋体" w:asciiTheme="minorEastAsia" w:hAnsiTheme="minorEastAsia" w:eastAsiaTheme="minorEastAsia"/>
                <w:sz w:val="21"/>
                <w:szCs w:val="21"/>
                <w:lang w:val="en-US" w:eastAsia="zh-CN"/>
              </w:rPr>
              <w:t>和权限，</w:t>
            </w:r>
            <w:r>
              <w:rPr>
                <w:rFonts w:hint="eastAsia" w:cs="宋体" w:asciiTheme="minorEastAsia" w:hAnsiTheme="minorEastAsia" w:eastAsiaTheme="minorEastAsia"/>
                <w:sz w:val="21"/>
                <w:szCs w:val="21"/>
              </w:rPr>
              <w:t>认证主管部门：</w:t>
            </w:r>
            <w:r>
              <w:rPr>
                <w:rFonts w:hint="eastAsia" w:cs="宋体" w:asciiTheme="minorEastAsia" w:hAnsiTheme="minorEastAsia" w:eastAsiaTheme="minorEastAsia"/>
                <w:sz w:val="21"/>
                <w:szCs w:val="21"/>
                <w:lang w:val="en-US" w:eastAsia="zh-CN"/>
              </w:rPr>
              <w:t>综合部</w:t>
            </w:r>
          </w:p>
          <w:p>
            <w:pPr>
              <w:spacing w:line="280" w:lineRule="exact"/>
              <w:ind w:firstLine="420" w:firstLineChars="200"/>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总经理确定与公司管理目标和战略方向相关并影响实现管理体系预期结果的各种内部因素和外部因素</w:t>
            </w:r>
            <w:r>
              <w:rPr>
                <w:rFonts w:hint="eastAsia" w:cs="宋体" w:asciiTheme="minorEastAsia" w:hAnsiTheme="minorEastAsia" w:eastAsiaTheme="minorEastAsia"/>
                <w:sz w:val="21"/>
                <w:szCs w:val="21"/>
                <w:lang w:eastAsia="zh-CN"/>
              </w:rPr>
              <w:t>，</w:t>
            </w:r>
            <w:r>
              <w:rPr>
                <w:rFonts w:hint="eastAsia" w:cs="宋体" w:asciiTheme="minorEastAsia" w:hAnsiTheme="minorEastAsia" w:eastAsiaTheme="minorEastAsia"/>
                <w:sz w:val="21"/>
                <w:szCs w:val="21"/>
              </w:rPr>
              <w:t>这些因素包括了需要考虑的正面和负面因素或条件。</w:t>
            </w:r>
          </w:p>
          <w:p>
            <w:pPr>
              <w:spacing w:line="280" w:lineRule="exact"/>
              <w:ind w:firstLine="420" w:firstLineChars="200"/>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 w:val="21"/>
                <w:szCs w:val="21"/>
              </w:rPr>
              <w:t>公司</w:t>
            </w:r>
            <w:r>
              <w:rPr>
                <w:rFonts w:hint="eastAsia" w:cs="宋体" w:asciiTheme="minorEastAsia" w:hAnsiTheme="minorEastAsia" w:eastAsiaTheme="minorEastAsia"/>
                <w:sz w:val="21"/>
                <w:szCs w:val="21"/>
                <w:lang w:eastAsia="zh-CN"/>
              </w:rPr>
              <w:t>出口部</w:t>
            </w:r>
            <w:r>
              <w:rPr>
                <w:rFonts w:hint="eastAsia" w:cs="宋体" w:asciiTheme="minorEastAsia" w:hAnsiTheme="minorEastAsia" w:eastAsiaTheme="minorEastAsia"/>
                <w:sz w:val="21"/>
                <w:szCs w:val="21"/>
              </w:rPr>
              <w:t>根据公司销售</w:t>
            </w:r>
            <w:r>
              <w:rPr>
                <w:rFonts w:hint="eastAsia" w:cs="宋体" w:asciiTheme="minorEastAsia" w:hAnsiTheme="minorEastAsia" w:eastAsiaTheme="minorEastAsia"/>
                <w:sz w:val="21"/>
                <w:szCs w:val="21"/>
                <w:lang w:val="en-US" w:eastAsia="zh-CN"/>
              </w:rPr>
              <w:t>人员</w:t>
            </w:r>
            <w:r>
              <w:rPr>
                <w:rFonts w:hint="eastAsia" w:cs="宋体" w:asciiTheme="minorEastAsia" w:hAnsiTheme="minorEastAsia" w:eastAsiaTheme="minorEastAsia"/>
                <w:sz w:val="21"/>
                <w:szCs w:val="21"/>
              </w:rPr>
              <w:t>从市场、客户、网络等搜集到的信息并结合公司自身业务运作情况进行分析，通过分析对这些内部和外部因素的相关信息进行监视和评审以确保其充分和适宜。</w:t>
            </w:r>
          </w:p>
        </w:tc>
        <w:tc>
          <w:tcPr>
            <w:tcW w:w="730"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1189" w:type="dxa"/>
            <w:vAlign w:val="top"/>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理解相关方的需求和期望</w:t>
            </w:r>
          </w:p>
          <w:p>
            <w:pPr>
              <w:spacing w:line="280" w:lineRule="exact"/>
              <w:rPr>
                <w:rFonts w:cs="宋体" w:asciiTheme="minorEastAsia" w:hAnsiTheme="minorEastAsia" w:eastAsiaTheme="minorEastAsia"/>
                <w:kern w:val="2"/>
                <w:sz w:val="24"/>
                <w:szCs w:val="24"/>
                <w:lang w:val="en-US" w:eastAsia="zh-CN" w:bidi="ar-SA"/>
              </w:rPr>
            </w:pPr>
          </w:p>
        </w:tc>
        <w:tc>
          <w:tcPr>
            <w:tcW w:w="717" w:type="dxa"/>
            <w:vAlign w:val="top"/>
          </w:tcPr>
          <w:p>
            <w:pPr>
              <w:spacing w:line="280" w:lineRule="exact"/>
              <w:rPr>
                <w:rFonts w:cs="宋体" w:asciiTheme="minorEastAsia" w:hAnsiTheme="minorEastAsia" w:eastAsiaTheme="minorEastAsia"/>
                <w:szCs w:val="21"/>
              </w:rPr>
            </w:pP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4.2</w:t>
            </w:r>
          </w:p>
          <w:p>
            <w:pPr>
              <w:spacing w:line="280" w:lineRule="exact"/>
              <w:rPr>
                <w:rFonts w:cs="宋体" w:asciiTheme="minorEastAsia" w:hAnsiTheme="minorEastAsia" w:eastAsiaTheme="minorEastAsia"/>
                <w:kern w:val="2"/>
                <w:sz w:val="24"/>
                <w:szCs w:val="24"/>
                <w:lang w:val="en-US" w:eastAsia="zh-CN" w:bidi="ar-SA"/>
              </w:rPr>
            </w:pPr>
          </w:p>
        </w:tc>
        <w:tc>
          <w:tcPr>
            <w:tcW w:w="12258" w:type="dxa"/>
            <w:vAlign w:val="center"/>
          </w:tcPr>
          <w:p>
            <w:pPr>
              <w:spacing w:line="280" w:lineRule="exact"/>
              <w:ind w:firstLine="420" w:firstLineChars="200"/>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公司确定与管理体系有关的相关方，公司特别是关注外部供方和顾客；这些相关方的要求；这些要求和期望中哪些会成为合规义务，公司对这些相关方及其要求的相关信息进行监视和评审，以便于理解和持续满足相关方的需求和期望。</w:t>
            </w:r>
          </w:p>
          <w:p>
            <w:pPr>
              <w:spacing w:line="280" w:lineRule="exact"/>
              <w:ind w:firstLine="420" w:firstLineChars="200"/>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公司理解相关方的需求和期望，建立了管理方针和目标并分解落实，以满足相关方的要求并争取做到更高的期望值。</w:t>
            </w:r>
          </w:p>
          <w:p>
            <w:pPr>
              <w:spacing w:line="280" w:lineRule="exact"/>
              <w:ind w:firstLine="420" w:firstLineChars="200"/>
              <w:rPr>
                <w:rFonts w:hint="eastAsia" w:cs="宋体" w:asciiTheme="minorEastAsia" w:hAnsiTheme="minorEastAsia" w:eastAsiaTheme="minorEastAsia"/>
                <w:kern w:val="2"/>
                <w:sz w:val="21"/>
                <w:szCs w:val="21"/>
                <w:lang w:val="en-US" w:eastAsia="zh-CN" w:bidi="ar-SA"/>
              </w:rPr>
            </w:pPr>
          </w:p>
        </w:tc>
        <w:tc>
          <w:tcPr>
            <w:tcW w:w="730"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trPr>
        <w:tc>
          <w:tcPr>
            <w:tcW w:w="1189" w:type="dxa"/>
            <w:vAlign w:val="top"/>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确定管理体系的范围</w:t>
            </w:r>
          </w:p>
          <w:p>
            <w:pPr>
              <w:spacing w:line="280" w:lineRule="exact"/>
              <w:rPr>
                <w:rFonts w:cs="宋体" w:asciiTheme="minorEastAsia" w:hAnsiTheme="minorEastAsia" w:eastAsiaTheme="minorEastAsia"/>
                <w:kern w:val="2"/>
                <w:sz w:val="24"/>
                <w:szCs w:val="24"/>
                <w:lang w:val="en-US" w:eastAsia="zh-CN" w:bidi="ar-SA"/>
              </w:rPr>
            </w:pPr>
          </w:p>
        </w:tc>
        <w:tc>
          <w:tcPr>
            <w:tcW w:w="717" w:type="dxa"/>
            <w:vAlign w:val="top"/>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4.3</w:t>
            </w:r>
          </w:p>
          <w:p>
            <w:pPr>
              <w:spacing w:line="280" w:lineRule="exact"/>
              <w:rPr>
                <w:rFonts w:cs="宋体" w:asciiTheme="minorEastAsia" w:hAnsiTheme="minorEastAsia" w:eastAsiaTheme="minorEastAsia"/>
                <w:kern w:val="2"/>
                <w:sz w:val="24"/>
                <w:szCs w:val="24"/>
                <w:lang w:val="en-US" w:eastAsia="zh-CN" w:bidi="ar-SA"/>
              </w:rPr>
            </w:pPr>
          </w:p>
        </w:tc>
        <w:tc>
          <w:tcPr>
            <w:tcW w:w="12258" w:type="dxa"/>
            <w:vAlign w:val="center"/>
          </w:tcPr>
          <w:p>
            <w:pPr>
              <w:spacing w:line="280" w:lineRule="exact"/>
              <w:ind w:firstLine="420" w:firstLineChars="200"/>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确定</w:t>
            </w:r>
            <w:r>
              <w:rPr>
                <w:rFonts w:hint="eastAsia" w:cs="宋体" w:asciiTheme="minorEastAsia" w:hAnsiTheme="minorEastAsia" w:eastAsiaTheme="minorEastAsia"/>
                <w:sz w:val="21"/>
                <w:szCs w:val="21"/>
                <w:lang w:val="en-US" w:eastAsia="zh-CN"/>
              </w:rPr>
              <w:t>质量</w:t>
            </w:r>
            <w:r>
              <w:rPr>
                <w:rFonts w:hint="eastAsia" w:cs="宋体" w:asciiTheme="minorEastAsia" w:hAnsiTheme="minorEastAsia" w:eastAsiaTheme="minorEastAsia"/>
                <w:sz w:val="21"/>
                <w:szCs w:val="21"/>
              </w:rPr>
              <w:t>管理体系范围时考虑内容：</w:t>
            </w:r>
          </w:p>
          <w:p>
            <w:pPr>
              <w:spacing w:line="280" w:lineRule="exact"/>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各种内部和外部因素；相关方的要求，包括相关合规义务；组织的活动、产品和产品；其组织单元、职能和物理边界。</w:t>
            </w:r>
          </w:p>
          <w:p>
            <w:pPr>
              <w:spacing w:line="280" w:lineRule="exact"/>
              <w:ind w:firstLine="420" w:firstLineChars="200"/>
              <w:rPr>
                <w:rFonts w:hint="eastAsia" w:eastAsiaTheme="minorEastAsia"/>
                <w:sz w:val="21"/>
                <w:szCs w:val="21"/>
                <w:lang w:eastAsia="zh-CN"/>
              </w:rPr>
            </w:pPr>
            <w:r>
              <w:rPr>
                <w:rFonts w:hint="eastAsia" w:cs="宋体" w:asciiTheme="minorEastAsia" w:hAnsiTheme="minorEastAsia" w:eastAsiaTheme="minorEastAsia"/>
                <w:sz w:val="21"/>
                <w:szCs w:val="21"/>
              </w:rPr>
              <w:t>公司</w:t>
            </w:r>
            <w:r>
              <w:rPr>
                <w:rFonts w:hint="eastAsia" w:cs="宋体" w:asciiTheme="minorEastAsia" w:hAnsiTheme="minorEastAsia" w:eastAsiaTheme="minorEastAsia"/>
                <w:sz w:val="21"/>
                <w:szCs w:val="21"/>
                <w:lang w:val="en-US" w:eastAsia="zh-CN"/>
              </w:rPr>
              <w:t>质量</w:t>
            </w:r>
            <w:r>
              <w:rPr>
                <w:rFonts w:hint="eastAsia" w:cs="宋体" w:asciiTheme="minorEastAsia" w:hAnsiTheme="minorEastAsia" w:eastAsiaTheme="minorEastAsia"/>
                <w:sz w:val="21"/>
                <w:szCs w:val="21"/>
              </w:rPr>
              <w:t>管理体系范围：</w:t>
            </w:r>
            <w:r>
              <w:rPr>
                <w:rFonts w:hint="eastAsia" w:cs="宋体" w:asciiTheme="minorEastAsia" w:hAnsiTheme="minorEastAsia" w:eastAsiaTheme="minorEastAsia"/>
                <w:sz w:val="21"/>
                <w:szCs w:val="21"/>
                <w:lang w:eastAsia="zh-CN"/>
              </w:rPr>
              <w:t>人力手推车、车载行李架及五金附件的生产。</w:t>
            </w:r>
          </w:p>
          <w:p>
            <w:pPr>
              <w:spacing w:line="280" w:lineRule="exact"/>
              <w:ind w:firstLine="420" w:firstLineChars="200"/>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 w:val="21"/>
                <w:szCs w:val="21"/>
              </w:rPr>
              <w:t>外包情况：</w:t>
            </w:r>
            <w:r>
              <w:rPr>
                <w:rFonts w:hint="eastAsia" w:cs="宋体" w:asciiTheme="minorEastAsia" w:hAnsiTheme="minorEastAsia" w:eastAsiaTheme="minorEastAsia"/>
                <w:sz w:val="21"/>
                <w:szCs w:val="21"/>
                <w:lang w:val="en-US" w:eastAsia="zh-CN"/>
              </w:rPr>
              <w:t>喷塑、物流运输为外包过程</w:t>
            </w:r>
            <w:r>
              <w:rPr>
                <w:rFonts w:hint="eastAsia" w:cs="宋体" w:asciiTheme="minorEastAsia" w:hAnsiTheme="minorEastAsia" w:eastAsiaTheme="minorEastAsia"/>
                <w:sz w:val="21"/>
                <w:szCs w:val="21"/>
              </w:rPr>
              <w:t>。</w:t>
            </w:r>
          </w:p>
        </w:tc>
        <w:tc>
          <w:tcPr>
            <w:tcW w:w="730"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1189" w:type="dxa"/>
            <w:vAlign w:val="top"/>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管理体系及其过程</w:t>
            </w:r>
          </w:p>
          <w:p>
            <w:pPr>
              <w:spacing w:line="280" w:lineRule="exact"/>
              <w:rPr>
                <w:rFonts w:cs="宋体" w:asciiTheme="minorEastAsia" w:hAnsiTheme="minorEastAsia" w:eastAsiaTheme="minorEastAsia"/>
                <w:kern w:val="2"/>
                <w:sz w:val="24"/>
                <w:szCs w:val="24"/>
                <w:lang w:val="en-US" w:eastAsia="zh-CN" w:bidi="ar-SA"/>
              </w:rPr>
            </w:pPr>
          </w:p>
        </w:tc>
        <w:tc>
          <w:tcPr>
            <w:tcW w:w="717" w:type="dxa"/>
            <w:vAlign w:val="top"/>
          </w:tcPr>
          <w:p>
            <w:pPr>
              <w:spacing w:line="280" w:lineRule="exact"/>
              <w:rPr>
                <w:rFonts w:cs="宋体" w:asciiTheme="minorEastAsia" w:hAnsiTheme="minorEastAsia" w:eastAsiaTheme="minorEastAsia"/>
                <w:szCs w:val="21"/>
              </w:rPr>
            </w:pP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4.4</w:t>
            </w:r>
          </w:p>
          <w:p>
            <w:pPr>
              <w:spacing w:line="280" w:lineRule="exact"/>
              <w:rPr>
                <w:rFonts w:cs="宋体" w:asciiTheme="minorEastAsia" w:hAnsiTheme="minorEastAsia" w:eastAsiaTheme="minorEastAsia"/>
                <w:kern w:val="2"/>
                <w:sz w:val="24"/>
                <w:szCs w:val="24"/>
                <w:lang w:val="en-US" w:eastAsia="zh-CN" w:bidi="ar-SA"/>
              </w:rPr>
            </w:pPr>
          </w:p>
        </w:tc>
        <w:tc>
          <w:tcPr>
            <w:tcW w:w="12258" w:type="dxa"/>
            <w:vAlign w:val="center"/>
          </w:tcPr>
          <w:p>
            <w:pPr>
              <w:spacing w:line="280" w:lineRule="exact"/>
              <w:ind w:firstLine="420" w:firstLineChars="200"/>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公司确定管理体系及其过程；公司确定质量管理体系所需的过程及其在整个组织中的应用。</w:t>
            </w:r>
          </w:p>
          <w:p>
            <w:pPr>
              <w:spacing w:line="280" w:lineRule="exact"/>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公司确保按照质量管理体系标准要求建立、实施、保持和持续改进质量管理体系，包括所需过程及其相互作用。</w:t>
            </w:r>
          </w:p>
          <w:p>
            <w:pPr>
              <w:spacing w:line="280" w:lineRule="exact"/>
              <w:ind w:firstLine="420" w:firstLineChars="200"/>
              <w:rPr>
                <w:rFonts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 w:val="21"/>
                <w:szCs w:val="21"/>
              </w:rPr>
              <w:t>公司按照标准建立了文件化的管理体系，</w:t>
            </w:r>
            <w:r>
              <w:rPr>
                <w:rFonts w:hint="eastAsia" w:cs="宋体" w:asciiTheme="minorEastAsia" w:hAnsiTheme="minorEastAsia" w:eastAsiaTheme="minorEastAsia"/>
                <w:sz w:val="21"/>
                <w:szCs w:val="21"/>
                <w:lang w:val="en-US" w:eastAsia="zh-CN"/>
              </w:rPr>
              <w:t>有</w:t>
            </w:r>
            <w:r>
              <w:rPr>
                <w:rFonts w:hint="eastAsia" w:cs="宋体" w:asciiTheme="minorEastAsia" w:hAnsiTheme="minorEastAsia" w:eastAsiaTheme="minorEastAsia"/>
                <w:sz w:val="21"/>
                <w:szCs w:val="21"/>
              </w:rPr>
              <w:t>管理手册，程序文件、管理制度，形成了相关文件化信息，为过程运行提供了支持，以证实过程按照策划执行</w:t>
            </w:r>
            <w:r>
              <w:rPr>
                <w:rFonts w:hint="eastAsia" w:cs="宋体" w:asciiTheme="minorEastAsia" w:hAnsiTheme="minorEastAsia" w:eastAsiaTheme="minorEastAsia"/>
                <w:sz w:val="21"/>
                <w:szCs w:val="21"/>
                <w:lang w:eastAsia="zh-CN"/>
              </w:rPr>
              <w:t>，</w:t>
            </w:r>
            <w:r>
              <w:rPr>
                <w:rFonts w:hint="eastAsia" w:cs="宋体" w:asciiTheme="minorEastAsia" w:hAnsiTheme="minorEastAsia" w:eastAsiaTheme="minorEastAsia"/>
                <w:sz w:val="21"/>
                <w:szCs w:val="21"/>
                <w:lang w:val="en-US" w:eastAsia="zh-CN"/>
              </w:rPr>
              <w:t>本阶段无更改</w:t>
            </w:r>
            <w:r>
              <w:rPr>
                <w:rFonts w:hint="eastAsia" w:cs="宋体" w:asciiTheme="minorEastAsia" w:hAnsiTheme="minorEastAsia" w:eastAsiaTheme="minorEastAsia"/>
                <w:sz w:val="21"/>
                <w:szCs w:val="21"/>
              </w:rPr>
              <w:t>。</w:t>
            </w:r>
          </w:p>
        </w:tc>
        <w:tc>
          <w:tcPr>
            <w:tcW w:w="730"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189" w:type="dxa"/>
            <w:vAlign w:val="top"/>
          </w:tcPr>
          <w:p>
            <w:pPr>
              <w:spacing w:line="280" w:lineRule="exac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szCs w:val="21"/>
                <w:lang w:val="en-US" w:eastAsia="zh-CN"/>
              </w:rPr>
              <w:t>领导作用和承诺</w:t>
            </w:r>
          </w:p>
        </w:tc>
        <w:tc>
          <w:tcPr>
            <w:tcW w:w="717" w:type="dxa"/>
            <w:vAlign w:val="top"/>
          </w:tcPr>
          <w:p>
            <w:pPr>
              <w:spacing w:line="280" w:lineRule="exact"/>
              <w:rPr>
                <w:rFonts w:hint="eastAsia" w:cs="宋体" w:asciiTheme="minorEastAsia" w:hAnsiTheme="minorEastAsia" w:eastAsiaTheme="minorEastAsia"/>
                <w:szCs w:val="21"/>
                <w:lang w:val="en-US" w:eastAsia="zh-CN"/>
              </w:rPr>
            </w:pP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5.</w:t>
            </w:r>
            <w:r>
              <w:rPr>
                <w:rFonts w:hint="eastAsia" w:cs="宋体" w:asciiTheme="minorEastAsia" w:hAnsiTheme="minorEastAsia" w:eastAsiaTheme="minorEastAsia"/>
                <w:szCs w:val="21"/>
                <w:lang w:val="en-US" w:eastAsia="zh-CN"/>
              </w:rPr>
              <w:t>1</w:t>
            </w:r>
          </w:p>
          <w:p>
            <w:pPr>
              <w:spacing w:line="280" w:lineRule="exact"/>
              <w:rPr>
                <w:rFonts w:cs="宋体" w:asciiTheme="minorEastAsia" w:hAnsiTheme="minorEastAsia" w:eastAsiaTheme="minorEastAsia"/>
                <w:kern w:val="2"/>
                <w:sz w:val="24"/>
                <w:szCs w:val="24"/>
                <w:lang w:val="en-US" w:eastAsia="zh-CN" w:bidi="ar-SA"/>
              </w:rPr>
            </w:pPr>
          </w:p>
        </w:tc>
        <w:tc>
          <w:tcPr>
            <w:tcW w:w="12258" w:type="dxa"/>
            <w:vAlign w:val="center"/>
          </w:tcPr>
          <w:p>
            <w:pPr>
              <w:ind w:firstLine="420" w:firstLineChars="200"/>
              <w:rPr>
                <w:rFonts w:hint="eastAsia" w:ascii="宋体" w:hAnsi="宋体"/>
                <w:bCs/>
                <w:kern w:val="0"/>
                <w:szCs w:val="24"/>
                <w:lang w:eastAsia="zh-CN"/>
              </w:rPr>
            </w:pPr>
            <w:r>
              <w:rPr>
                <w:rFonts w:hint="eastAsia" w:ascii="宋体" w:hAnsi="宋体"/>
                <w:bCs/>
                <w:kern w:val="0"/>
                <w:szCs w:val="24"/>
                <w:lang w:val="en-US" w:eastAsia="zh-CN"/>
              </w:rPr>
              <w:t>现场交流，公司</w:t>
            </w:r>
            <w:r>
              <w:rPr>
                <w:rFonts w:hint="eastAsia" w:ascii="宋体" w:hAnsi="宋体"/>
                <w:bCs/>
                <w:kern w:val="0"/>
                <w:szCs w:val="24"/>
                <w:lang w:eastAsia="zh-CN"/>
              </w:rPr>
              <w:t>领导作用与承诺总经理通过以下方面证实其对质量管理体系的领导作用与承诺：</w:t>
            </w:r>
          </w:p>
          <w:p>
            <w:pPr>
              <w:ind w:firstLine="420" w:firstLineChars="200"/>
              <w:rPr>
                <w:rFonts w:hint="eastAsia" w:ascii="宋体" w:hAnsi="宋体"/>
                <w:bCs/>
                <w:kern w:val="0"/>
                <w:szCs w:val="24"/>
                <w:lang w:eastAsia="zh-CN"/>
              </w:rPr>
            </w:pPr>
            <w:r>
              <w:rPr>
                <w:rFonts w:hint="eastAsia" w:ascii="宋体" w:hAnsi="宋体"/>
                <w:bCs/>
                <w:kern w:val="0"/>
                <w:szCs w:val="24"/>
                <w:lang w:eastAsia="zh-CN"/>
              </w:rPr>
              <w:t>a）分配体系管理职责，对质量管理体系的有效性承担责任；</w:t>
            </w:r>
          </w:p>
          <w:p>
            <w:pPr>
              <w:ind w:firstLine="420" w:firstLineChars="200"/>
              <w:rPr>
                <w:rFonts w:hint="eastAsia" w:ascii="宋体" w:hAnsi="宋体"/>
                <w:bCs/>
                <w:kern w:val="0"/>
                <w:szCs w:val="24"/>
                <w:lang w:eastAsia="zh-CN"/>
              </w:rPr>
            </w:pPr>
            <w:r>
              <w:rPr>
                <w:rFonts w:hint="eastAsia" w:ascii="宋体" w:hAnsi="宋体"/>
                <w:bCs/>
                <w:kern w:val="0"/>
                <w:szCs w:val="24"/>
                <w:lang w:eastAsia="zh-CN"/>
              </w:rPr>
              <w:t>b）制定质量管理体系的质量方针和质量目标,并与组织环境和战略方向相一致；</w:t>
            </w:r>
          </w:p>
          <w:p>
            <w:pPr>
              <w:ind w:firstLine="420" w:firstLineChars="200"/>
              <w:rPr>
                <w:rFonts w:hint="eastAsia" w:ascii="宋体" w:hAnsi="宋体"/>
                <w:bCs/>
                <w:kern w:val="0"/>
                <w:szCs w:val="24"/>
                <w:lang w:eastAsia="zh-CN"/>
              </w:rPr>
            </w:pPr>
            <w:r>
              <w:rPr>
                <w:rFonts w:hint="eastAsia" w:ascii="宋体" w:hAnsi="宋体"/>
                <w:bCs/>
                <w:kern w:val="0"/>
                <w:szCs w:val="24"/>
                <w:lang w:eastAsia="zh-CN"/>
              </w:rPr>
              <w:t>c）将公司质量管理体系要求融入公司的业务过程；</w:t>
            </w:r>
          </w:p>
          <w:p>
            <w:pPr>
              <w:ind w:firstLine="420" w:firstLineChars="200"/>
              <w:rPr>
                <w:rFonts w:hint="eastAsia" w:ascii="宋体" w:hAnsi="宋体"/>
                <w:bCs/>
                <w:kern w:val="0"/>
                <w:szCs w:val="24"/>
                <w:lang w:eastAsia="zh-CN"/>
              </w:rPr>
            </w:pPr>
            <w:r>
              <w:rPr>
                <w:rFonts w:hint="eastAsia" w:ascii="宋体" w:hAnsi="宋体"/>
                <w:bCs/>
                <w:kern w:val="0"/>
                <w:szCs w:val="24"/>
                <w:lang w:eastAsia="zh-CN"/>
              </w:rPr>
              <w:t>d）促进管理者在体系策划、运行中使用过程方法和基于风险的思维；</w:t>
            </w:r>
          </w:p>
          <w:p>
            <w:pPr>
              <w:ind w:firstLine="420" w:firstLineChars="200"/>
              <w:rPr>
                <w:rFonts w:hint="eastAsia" w:ascii="宋体" w:hAnsi="宋体"/>
                <w:bCs/>
                <w:kern w:val="0"/>
                <w:szCs w:val="24"/>
                <w:lang w:eastAsia="zh-CN"/>
              </w:rPr>
            </w:pPr>
            <w:r>
              <w:rPr>
                <w:rFonts w:hint="eastAsia" w:ascii="宋体" w:hAnsi="宋体"/>
                <w:bCs/>
                <w:kern w:val="0"/>
                <w:szCs w:val="24"/>
                <w:lang w:eastAsia="zh-CN"/>
              </w:rPr>
              <w:t>e）识别公司质量管理体系所需的资源及其更新需要并配备这些资源；</w:t>
            </w:r>
          </w:p>
          <w:p>
            <w:pPr>
              <w:ind w:firstLine="420" w:firstLineChars="200"/>
              <w:rPr>
                <w:rFonts w:hint="eastAsia" w:ascii="宋体" w:hAnsi="宋体"/>
                <w:bCs/>
                <w:kern w:val="0"/>
                <w:szCs w:val="24"/>
                <w:lang w:eastAsia="zh-CN"/>
              </w:rPr>
            </w:pPr>
            <w:r>
              <w:rPr>
                <w:rFonts w:hint="eastAsia" w:ascii="宋体" w:hAnsi="宋体"/>
                <w:bCs/>
                <w:kern w:val="0"/>
                <w:szCs w:val="24"/>
                <w:lang w:eastAsia="zh-CN"/>
              </w:rPr>
              <w:t>f）在公司内进行沟通，确保全员理解有效的质量管理和符合质量管理体系要求的重要性，积极主动参与和配合，通过考核、培训、分享知识、奖励制度，促使、指导和支持员工努力提高其素质，提高质量管理体系的有效性和管理绩效；</w:t>
            </w:r>
          </w:p>
          <w:p>
            <w:pPr>
              <w:ind w:firstLine="420" w:firstLineChars="200"/>
              <w:rPr>
                <w:rFonts w:hint="eastAsia" w:ascii="宋体" w:hAnsi="宋体"/>
                <w:bCs/>
                <w:kern w:val="0"/>
                <w:szCs w:val="24"/>
                <w:lang w:eastAsia="zh-CN"/>
              </w:rPr>
            </w:pPr>
            <w:r>
              <w:rPr>
                <w:rFonts w:hint="eastAsia" w:ascii="宋体" w:hAnsi="宋体"/>
                <w:bCs/>
                <w:kern w:val="0"/>
                <w:szCs w:val="24"/>
                <w:lang w:eastAsia="zh-CN"/>
              </w:rPr>
              <w:t>g）实施各项业务过程，实现公司目标和质量管理体系的预期结果；</w:t>
            </w:r>
          </w:p>
          <w:p>
            <w:pPr>
              <w:ind w:firstLine="420" w:firstLineChars="200"/>
              <w:rPr>
                <w:rFonts w:hint="eastAsia" w:ascii="宋体" w:hAnsi="宋体"/>
                <w:bCs/>
                <w:kern w:val="0"/>
                <w:szCs w:val="24"/>
                <w:lang w:eastAsia="zh-CN"/>
              </w:rPr>
            </w:pPr>
            <w:r>
              <w:rPr>
                <w:rFonts w:hint="eastAsia" w:ascii="宋体" w:hAnsi="宋体"/>
                <w:bCs/>
                <w:kern w:val="0"/>
                <w:szCs w:val="24"/>
                <w:lang w:eastAsia="zh-CN"/>
              </w:rPr>
              <w:t>h）推动改进；</w:t>
            </w:r>
          </w:p>
          <w:p>
            <w:pPr>
              <w:ind w:firstLine="420" w:firstLineChars="200"/>
              <w:rPr>
                <w:rFonts w:hint="eastAsia" w:ascii="宋体" w:hAnsi="宋体"/>
                <w:bCs/>
                <w:kern w:val="0"/>
                <w:szCs w:val="24"/>
                <w:lang w:eastAsia="zh-CN"/>
              </w:rPr>
            </w:pPr>
            <w:r>
              <w:rPr>
                <w:rFonts w:hint="eastAsia" w:ascii="宋体" w:hAnsi="宋体"/>
                <w:bCs/>
                <w:kern w:val="0"/>
                <w:szCs w:val="24"/>
                <w:lang w:eastAsia="zh-CN"/>
              </w:rPr>
              <w:t>i）明确公司内部职责分工，支持其他管理者履行其相关领域的职责。</w:t>
            </w:r>
          </w:p>
          <w:p>
            <w:pPr>
              <w:ind w:firstLine="420" w:firstLineChars="200"/>
              <w:rPr>
                <w:rFonts w:hint="eastAsia" w:cs="宋体" w:asciiTheme="minorEastAsia" w:hAnsiTheme="minorEastAsia" w:eastAsiaTheme="minorEastAsia"/>
                <w:sz w:val="21"/>
                <w:szCs w:val="21"/>
                <w:lang w:val="en-US" w:eastAsia="zh-CN" w:bidi="ar-SA"/>
              </w:rPr>
            </w:pPr>
            <w:r>
              <w:rPr>
                <w:rFonts w:hint="eastAsia" w:ascii="宋体" w:hAnsi="宋体"/>
                <w:bCs/>
                <w:kern w:val="0"/>
                <w:szCs w:val="24"/>
                <w:lang w:eastAsia="zh-CN"/>
              </w:rPr>
              <w:t>确定、理解并持续满足顾客要求以及适用的法律法规要求；确定和应对能够影响产品、服务符合性以及增强顾客满意能力的风险和机遇；始终致力于增强顾客满意。</w:t>
            </w:r>
          </w:p>
        </w:tc>
        <w:tc>
          <w:tcPr>
            <w:tcW w:w="730"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1189" w:type="dxa"/>
            <w:vAlign w:val="top"/>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质量</w:t>
            </w:r>
            <w:r>
              <w:rPr>
                <w:rFonts w:hint="eastAsia" w:cs="宋体" w:asciiTheme="minorEastAsia" w:hAnsiTheme="minorEastAsia" w:eastAsiaTheme="minorEastAsia"/>
                <w:szCs w:val="21"/>
              </w:rPr>
              <w:t>方针</w:t>
            </w:r>
          </w:p>
          <w:p>
            <w:pPr>
              <w:spacing w:line="280" w:lineRule="exact"/>
              <w:rPr>
                <w:rFonts w:cs="宋体" w:asciiTheme="minorEastAsia" w:hAnsiTheme="minorEastAsia" w:eastAsiaTheme="minorEastAsia"/>
                <w:kern w:val="2"/>
                <w:sz w:val="24"/>
                <w:szCs w:val="24"/>
                <w:lang w:val="en-US" w:eastAsia="zh-CN" w:bidi="ar-SA"/>
              </w:rPr>
            </w:pPr>
          </w:p>
        </w:tc>
        <w:tc>
          <w:tcPr>
            <w:tcW w:w="717" w:type="dxa"/>
            <w:vAlign w:val="top"/>
          </w:tcPr>
          <w:p>
            <w:pPr>
              <w:spacing w:line="280" w:lineRule="exact"/>
              <w:rPr>
                <w:rFonts w:cs="宋体" w:asciiTheme="minorEastAsia" w:hAnsiTheme="minorEastAsia" w:eastAsiaTheme="minorEastAsia"/>
                <w:szCs w:val="21"/>
              </w:rPr>
            </w:pP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5.2</w:t>
            </w:r>
          </w:p>
          <w:p>
            <w:pPr>
              <w:snapToGrid w:val="0"/>
              <w:spacing w:line="280" w:lineRule="exact"/>
              <w:rPr>
                <w:rFonts w:asciiTheme="minorEastAsia" w:hAnsiTheme="minorEastAsia" w:eastAsiaTheme="minorEastAsia"/>
                <w:szCs w:val="21"/>
              </w:rPr>
            </w:pPr>
          </w:p>
          <w:p>
            <w:pPr>
              <w:spacing w:line="280" w:lineRule="exact"/>
              <w:rPr>
                <w:rFonts w:cs="宋体" w:asciiTheme="minorEastAsia" w:hAnsiTheme="minorEastAsia" w:eastAsiaTheme="minorEastAsia"/>
                <w:szCs w:val="21"/>
              </w:rPr>
            </w:pPr>
          </w:p>
          <w:p>
            <w:pPr>
              <w:spacing w:line="280" w:lineRule="exact"/>
              <w:rPr>
                <w:rFonts w:cs="宋体" w:asciiTheme="minorEastAsia" w:hAnsiTheme="minorEastAsia" w:eastAsiaTheme="minorEastAsia"/>
                <w:kern w:val="2"/>
                <w:sz w:val="24"/>
                <w:szCs w:val="24"/>
                <w:lang w:val="en-US" w:eastAsia="zh-CN" w:bidi="ar-SA"/>
              </w:rPr>
            </w:pPr>
          </w:p>
        </w:tc>
        <w:tc>
          <w:tcPr>
            <w:tcW w:w="12258" w:type="dxa"/>
            <w:vAlign w:val="center"/>
          </w:tcPr>
          <w:p>
            <w:pPr>
              <w:pStyle w:val="14"/>
              <w:spacing w:line="360" w:lineRule="auto"/>
              <w:ind w:firstLine="382" w:firstLineChars="182"/>
              <w:rPr>
                <w:rFonts w:hint="eastAsia" w:asciiTheme="minorEastAsia" w:hAnsiTheme="minorEastAsia" w:eastAsiaTheme="minorEastAsia"/>
                <w:sz w:val="21"/>
                <w:szCs w:val="21"/>
              </w:rPr>
            </w:pPr>
            <w:r>
              <w:rPr>
                <w:rFonts w:hint="eastAsia" w:asciiTheme="minorEastAsia" w:hAnsiTheme="minorEastAsia" w:eastAsiaTheme="minorEastAsia"/>
                <w:sz w:val="21"/>
                <w:szCs w:val="21"/>
              </w:rPr>
              <w:t>质量方针：</w:t>
            </w:r>
          </w:p>
          <w:p>
            <w:pPr>
              <w:pStyle w:val="15"/>
              <w:numPr>
                <w:ilvl w:val="0"/>
                <w:numId w:val="0"/>
              </w:numPr>
              <w:spacing w:line="280" w:lineRule="exact"/>
              <w:ind w:left="420" w:leftChars="0"/>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树质量意识，创卓越品质；坚持科技创新，致力持续改进，不断的为顾客提供满意的产品。</w:t>
            </w:r>
          </w:p>
          <w:p>
            <w:pPr>
              <w:pStyle w:val="15"/>
              <w:numPr>
                <w:ilvl w:val="0"/>
                <w:numId w:val="0"/>
              </w:numPr>
              <w:spacing w:line="280" w:lineRule="exact"/>
              <w:ind w:left="420" w:leftChars="0"/>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手册明确质量方针释义</w:t>
            </w:r>
          </w:p>
          <w:p>
            <w:pPr>
              <w:pStyle w:val="15"/>
              <w:numPr>
                <w:ilvl w:val="0"/>
                <w:numId w:val="1"/>
              </w:numPr>
              <w:spacing w:line="280" w:lineRule="exact"/>
              <w:ind w:firstLineChars="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与总经理进行交谈，总经理对方针内涵的理解；方针能为制定目标提供框架，方针基本符合标准的要求。</w:t>
            </w:r>
          </w:p>
          <w:p>
            <w:pPr>
              <w:pStyle w:val="15"/>
              <w:numPr>
                <w:ilvl w:val="0"/>
                <w:numId w:val="1"/>
              </w:numPr>
              <w:spacing w:line="280" w:lineRule="exact"/>
              <w:ind w:firstLineChars="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总经理用会议、文件或资料等方法确保</w:t>
            </w:r>
            <w:r>
              <w:rPr>
                <w:rFonts w:hint="eastAsia" w:cs="宋体" w:asciiTheme="minorEastAsia" w:hAnsiTheme="minorEastAsia" w:eastAsiaTheme="minorEastAsia"/>
                <w:sz w:val="21"/>
                <w:szCs w:val="21"/>
                <w:lang w:val="en-US" w:eastAsia="zh-CN"/>
              </w:rPr>
              <w:t>质量</w:t>
            </w:r>
            <w:r>
              <w:rPr>
                <w:rFonts w:hint="eastAsia" w:cs="宋体" w:asciiTheme="minorEastAsia" w:hAnsiTheme="minorEastAsia" w:eastAsiaTheme="minorEastAsia"/>
                <w:sz w:val="21"/>
                <w:szCs w:val="21"/>
              </w:rPr>
              <w:t>方针传达给所有为公司工作或代表公司的人员或相关方，并理解得到贯彻。</w:t>
            </w:r>
          </w:p>
          <w:p>
            <w:pPr>
              <w:pStyle w:val="15"/>
              <w:numPr>
                <w:ilvl w:val="0"/>
                <w:numId w:val="1"/>
              </w:numPr>
              <w:spacing w:line="280" w:lineRule="exact"/>
              <w:ind w:left="840" w:leftChars="0" w:hanging="420" w:firstLineChars="0"/>
              <w:rPr>
                <w:rFonts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 w:val="21"/>
                <w:szCs w:val="21"/>
              </w:rPr>
              <w:t>每年结合管理评审对方针的持续适宜性进行了评审继续保持，有评审记录。</w:t>
            </w:r>
          </w:p>
        </w:tc>
        <w:tc>
          <w:tcPr>
            <w:tcW w:w="730"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189" w:type="dxa"/>
            <w:vAlign w:val="top"/>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组织的岗位、职责和权限</w:t>
            </w:r>
          </w:p>
          <w:p>
            <w:pPr>
              <w:spacing w:line="280" w:lineRule="exact"/>
              <w:rPr>
                <w:rFonts w:cs="宋体" w:asciiTheme="minorEastAsia" w:hAnsiTheme="minorEastAsia" w:eastAsiaTheme="minorEastAsia"/>
                <w:kern w:val="2"/>
                <w:sz w:val="24"/>
                <w:szCs w:val="24"/>
                <w:lang w:val="en-US" w:eastAsia="zh-CN" w:bidi="ar-SA"/>
              </w:rPr>
            </w:pPr>
          </w:p>
        </w:tc>
        <w:tc>
          <w:tcPr>
            <w:tcW w:w="717" w:type="dxa"/>
            <w:vAlign w:val="top"/>
          </w:tcPr>
          <w:p>
            <w:pPr>
              <w:spacing w:line="280" w:lineRule="exact"/>
              <w:rPr>
                <w:rFonts w:cs="宋体" w:asciiTheme="minorEastAsia" w:hAnsiTheme="minorEastAsia" w:eastAsiaTheme="minorEastAsia"/>
                <w:szCs w:val="21"/>
              </w:rPr>
            </w:pPr>
            <w:r>
              <w:rPr>
                <w:rFonts w:cs="宋体" w:asciiTheme="minorEastAsia" w:hAnsiTheme="minorEastAsia" w:eastAsiaTheme="minorEastAsia"/>
                <w:szCs w:val="21"/>
              </w:rPr>
              <w:t xml:space="preserve"> 5.3</w:t>
            </w:r>
          </w:p>
          <w:p>
            <w:pPr>
              <w:spacing w:line="280" w:lineRule="exact"/>
              <w:rPr>
                <w:rFonts w:cs="宋体" w:asciiTheme="minorEastAsia" w:hAnsiTheme="minorEastAsia" w:eastAsiaTheme="minorEastAsia"/>
                <w:kern w:val="2"/>
                <w:sz w:val="24"/>
                <w:szCs w:val="24"/>
                <w:lang w:val="en-US" w:eastAsia="zh-CN" w:bidi="ar-SA"/>
              </w:rPr>
            </w:pPr>
          </w:p>
        </w:tc>
        <w:tc>
          <w:tcPr>
            <w:tcW w:w="12258" w:type="dxa"/>
            <w:vAlign w:val="center"/>
          </w:tcPr>
          <w:p>
            <w:pPr>
              <w:spacing w:line="280" w:lineRule="exact"/>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公司组织结构设置，各部门职责、权限和相互关系文件化，通过会议、培训、文件确保各相关部门及人员明确。</w:t>
            </w:r>
          </w:p>
          <w:p>
            <w:pPr>
              <w:spacing w:line="280" w:lineRule="exact"/>
              <w:ind w:firstLine="420" w:firstLineChars="200"/>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公司</w:t>
            </w:r>
            <w:r>
              <w:rPr>
                <w:rFonts w:hint="eastAsia" w:cs="宋体" w:asciiTheme="minorEastAsia" w:hAnsiTheme="minorEastAsia" w:eastAsiaTheme="minorEastAsia"/>
                <w:sz w:val="21"/>
                <w:szCs w:val="21"/>
                <w:lang w:val="en-US" w:eastAsia="zh-CN"/>
              </w:rPr>
              <w:t>2021年9月1日</w:t>
            </w:r>
            <w:r>
              <w:rPr>
                <w:rFonts w:hint="eastAsia" w:cs="宋体" w:asciiTheme="minorEastAsia" w:hAnsiTheme="minorEastAsia" w:eastAsiaTheme="minorEastAsia"/>
                <w:sz w:val="21"/>
                <w:szCs w:val="21"/>
              </w:rPr>
              <w:t>任命</w:t>
            </w:r>
            <w:r>
              <w:rPr>
                <w:rFonts w:hint="eastAsia" w:cs="宋体" w:asciiTheme="minorEastAsia" w:hAnsiTheme="minorEastAsia" w:eastAsiaTheme="minorEastAsia"/>
                <w:sz w:val="21"/>
                <w:szCs w:val="21"/>
                <w:lang w:val="en-US" w:eastAsia="zh-CN"/>
              </w:rPr>
              <w:t>相鹏飞</w:t>
            </w:r>
            <w:r>
              <w:rPr>
                <w:rFonts w:hint="eastAsia" w:cs="宋体" w:asciiTheme="minorEastAsia" w:hAnsiTheme="minorEastAsia" w:eastAsiaTheme="minorEastAsia"/>
                <w:sz w:val="21"/>
                <w:szCs w:val="21"/>
              </w:rPr>
              <w:t>为管理体系管理者代表，与其交谈明确职责和权限：</w:t>
            </w:r>
          </w:p>
          <w:p>
            <w:pPr>
              <w:spacing w:line="280" w:lineRule="exact"/>
              <w:ind w:firstLine="420" w:firstLineChars="200"/>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a）确保建立、实施、保持质量管理体系并符合标准的要求；</w:t>
            </w:r>
          </w:p>
          <w:p>
            <w:pPr>
              <w:spacing w:line="280" w:lineRule="exact"/>
              <w:ind w:firstLine="420" w:firstLineChars="200"/>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b）确保过程、风险等得到识别、分析、确认、控制；</w:t>
            </w:r>
          </w:p>
          <w:p>
            <w:pPr>
              <w:spacing w:line="280" w:lineRule="exact"/>
              <w:ind w:firstLine="420" w:firstLineChars="200"/>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c）报告质量管理体系的整体绩效及其改进，特别向最高管理者报告；</w:t>
            </w:r>
          </w:p>
          <w:p>
            <w:pPr>
              <w:spacing w:line="280" w:lineRule="exact"/>
              <w:ind w:firstLine="420" w:firstLineChars="200"/>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d）确保在整个组织内推动以顾客为关注焦点、互利供方关系、持续改进、过程方法、询证决策、领导作用、全员参与；</w:t>
            </w:r>
          </w:p>
          <w:p>
            <w:pPr>
              <w:spacing w:line="280" w:lineRule="exact"/>
              <w:ind w:firstLine="420" w:firstLineChars="200"/>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e）确保在策划和实施质量管理体系变更时保持其完整性。</w:t>
            </w:r>
          </w:p>
          <w:p>
            <w:pPr>
              <w:spacing w:line="280" w:lineRule="exact"/>
              <w:ind w:firstLine="420" w:firstLineChars="200"/>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f) 就质量管理体系有关事宜的外部联络。</w:t>
            </w:r>
          </w:p>
          <w:p>
            <w:pPr>
              <w:spacing w:line="280" w:lineRule="exact"/>
              <w:ind w:firstLine="420" w:firstLineChars="200"/>
              <w:rPr>
                <w:rFonts w:cs="宋体" w:asciiTheme="minorEastAsia" w:hAnsiTheme="minorEastAsia" w:eastAsiaTheme="minorEastAsia"/>
                <w:kern w:val="2"/>
                <w:sz w:val="21"/>
                <w:szCs w:val="21"/>
                <w:lang w:val="en-US" w:eastAsia="zh-CN" w:bidi="ar-SA"/>
              </w:rPr>
            </w:pPr>
          </w:p>
        </w:tc>
        <w:tc>
          <w:tcPr>
            <w:tcW w:w="730"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189" w:type="dxa"/>
            <w:vAlign w:val="top"/>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应对风险和机遇的措施</w:t>
            </w:r>
          </w:p>
          <w:p>
            <w:pPr>
              <w:spacing w:line="280" w:lineRule="exact"/>
              <w:rPr>
                <w:rFonts w:cs="宋体" w:asciiTheme="minorEastAsia" w:hAnsiTheme="minorEastAsia" w:eastAsiaTheme="minorEastAsia"/>
                <w:kern w:val="2"/>
                <w:sz w:val="24"/>
                <w:szCs w:val="24"/>
                <w:lang w:val="en-US" w:eastAsia="zh-CN" w:bidi="ar-SA"/>
              </w:rPr>
            </w:pPr>
          </w:p>
        </w:tc>
        <w:tc>
          <w:tcPr>
            <w:tcW w:w="717" w:type="dxa"/>
            <w:vAlign w:val="top"/>
          </w:tcPr>
          <w:p>
            <w:pPr>
              <w:spacing w:line="280" w:lineRule="exact"/>
              <w:rPr>
                <w:rFonts w:cs="宋体" w:asciiTheme="minorEastAsia" w:hAnsiTheme="minorEastAsia" w:eastAsiaTheme="minorEastAsia"/>
                <w:szCs w:val="21"/>
              </w:rPr>
            </w:pP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6.1</w:t>
            </w:r>
          </w:p>
          <w:p>
            <w:pPr>
              <w:spacing w:line="280" w:lineRule="exact"/>
              <w:rPr>
                <w:rFonts w:cs="宋体" w:asciiTheme="minorEastAsia" w:hAnsiTheme="minorEastAsia" w:eastAsiaTheme="minorEastAsia"/>
                <w:szCs w:val="21"/>
              </w:rPr>
            </w:pPr>
          </w:p>
          <w:p>
            <w:pPr>
              <w:spacing w:line="280" w:lineRule="exact"/>
              <w:rPr>
                <w:rFonts w:cs="宋体" w:asciiTheme="minorEastAsia" w:hAnsiTheme="minorEastAsia" w:eastAsiaTheme="minorEastAsia"/>
                <w:szCs w:val="21"/>
              </w:rPr>
            </w:pPr>
          </w:p>
          <w:p>
            <w:pPr>
              <w:spacing w:line="280" w:lineRule="exact"/>
              <w:rPr>
                <w:rFonts w:cs="宋体" w:asciiTheme="minorEastAsia" w:hAnsiTheme="minorEastAsia" w:eastAsiaTheme="minorEastAsia"/>
                <w:kern w:val="2"/>
                <w:sz w:val="21"/>
                <w:szCs w:val="21"/>
                <w:lang w:val="en-US" w:eastAsia="zh-CN" w:bidi="ar-SA"/>
              </w:rPr>
            </w:pPr>
          </w:p>
        </w:tc>
        <w:tc>
          <w:tcPr>
            <w:tcW w:w="12258" w:type="dxa"/>
            <w:vAlign w:val="center"/>
          </w:tcPr>
          <w:p>
            <w:pPr>
              <w:pStyle w:val="15"/>
              <w:numPr>
                <w:ilvl w:val="0"/>
                <w:numId w:val="0"/>
              </w:numPr>
              <w:spacing w:line="280" w:lineRule="exact"/>
              <w:ind w:left="420" w:leftChars="0" w:firstLine="420" w:firstLineChars="200"/>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lang w:val="en-US" w:eastAsia="zh-CN"/>
              </w:rPr>
              <w:t>管理层指定</w:t>
            </w:r>
            <w:r>
              <w:rPr>
                <w:rFonts w:hint="eastAsia" w:cs="宋体" w:asciiTheme="minorEastAsia" w:hAnsiTheme="minorEastAsia" w:eastAsiaTheme="minorEastAsia"/>
                <w:sz w:val="21"/>
                <w:szCs w:val="21"/>
                <w:lang w:eastAsia="zh-CN"/>
              </w:rPr>
              <w:t>综合部</w:t>
            </w:r>
            <w:r>
              <w:rPr>
                <w:rFonts w:hint="eastAsia" w:cs="宋体" w:asciiTheme="minorEastAsia" w:hAnsiTheme="minorEastAsia" w:eastAsiaTheme="minorEastAsia"/>
                <w:sz w:val="21"/>
                <w:szCs w:val="21"/>
              </w:rPr>
              <w:t>组织收集、监视和评审与实现公司宗旨和战略相关的内外部信息，对相关方及其要求，收集并对相关信息进行监视和评审，制定应对风险、机会的措施，并通过内部审核、管理评审等形式对所制定措施的实施情况和有效性进行监视和评价。</w:t>
            </w:r>
          </w:p>
          <w:p>
            <w:pPr>
              <w:pStyle w:val="15"/>
              <w:numPr>
                <w:ilvl w:val="0"/>
                <w:numId w:val="2"/>
              </w:numPr>
              <w:spacing w:line="280" w:lineRule="exact"/>
              <w:ind w:firstLineChars="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外部因素主要有</w:t>
            </w:r>
            <w:r>
              <w:rPr>
                <w:rFonts w:hint="eastAsia" w:cs="宋体" w:asciiTheme="minorEastAsia" w:hAnsiTheme="minorEastAsia" w:eastAsiaTheme="minorEastAsia"/>
                <w:sz w:val="21"/>
                <w:szCs w:val="21"/>
                <w:lang w:eastAsia="zh-CN"/>
              </w:rPr>
              <w:t>：</w:t>
            </w:r>
            <w:r>
              <w:rPr>
                <w:rFonts w:hint="eastAsia" w:cs="宋体" w:asciiTheme="minorEastAsia" w:hAnsiTheme="minorEastAsia" w:eastAsiaTheme="minorEastAsia"/>
                <w:sz w:val="21"/>
                <w:szCs w:val="21"/>
              </w:rPr>
              <w:t>法律、监管、金融、技术、经济、自然环境和市场竞争环境；影响公司管理目标的主要驱动和趋势；与外部利益相关者的价值观的关系。如</w:t>
            </w:r>
            <w:r>
              <w:rPr>
                <w:rFonts w:hint="eastAsia" w:cs="宋体" w:asciiTheme="minorEastAsia" w:hAnsiTheme="minorEastAsia" w:eastAsiaTheme="minorEastAsia"/>
                <w:sz w:val="21"/>
                <w:szCs w:val="21"/>
                <w:lang w:val="en-US" w:eastAsia="zh-CN"/>
              </w:rPr>
              <w:t>出口</w:t>
            </w:r>
            <w:r>
              <w:rPr>
                <w:rFonts w:hint="eastAsia" w:cs="宋体" w:asciiTheme="minorEastAsia" w:hAnsiTheme="minorEastAsia" w:eastAsiaTheme="minorEastAsia"/>
                <w:sz w:val="21"/>
                <w:szCs w:val="21"/>
              </w:rPr>
              <w:t>国家法律法规及其他要求的变动等</w:t>
            </w:r>
            <w:r>
              <w:rPr>
                <w:rFonts w:hint="eastAsia" w:cs="宋体" w:asciiTheme="minorEastAsia" w:hAnsiTheme="minorEastAsia" w:eastAsiaTheme="minorEastAsia"/>
                <w:sz w:val="21"/>
                <w:szCs w:val="21"/>
                <w:lang w:eastAsia="zh-CN"/>
              </w:rPr>
              <w:t>。</w:t>
            </w:r>
          </w:p>
          <w:p>
            <w:pPr>
              <w:pStyle w:val="15"/>
              <w:numPr>
                <w:ilvl w:val="0"/>
                <w:numId w:val="2"/>
              </w:numPr>
              <w:spacing w:line="280" w:lineRule="exact"/>
              <w:ind w:firstLineChars="0"/>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内部因素包括：组织机构，角色和责任；政策、目标、实现目标的战略；能力、资源和知识（资本、时间、人、能力等）；内部利益相关者的价值观与组织文化之间的关系；信息系统、信息流和决策流程；控制过程。</w:t>
            </w:r>
          </w:p>
          <w:p>
            <w:pPr>
              <w:pStyle w:val="15"/>
              <w:numPr>
                <w:ilvl w:val="0"/>
                <w:numId w:val="2"/>
              </w:numPr>
              <w:spacing w:line="280" w:lineRule="exact"/>
              <w:ind w:left="840" w:leftChars="0" w:hanging="420" w:firstLineChars="0"/>
              <w:jc w:val="left"/>
              <w:rPr>
                <w:rFonts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 w:val="21"/>
                <w:szCs w:val="21"/>
              </w:rPr>
              <w:t>在策划管理体系时考虑了风险和机遇以及相应的应对措施，制定了风险和机遇的应对方案，明确风险和机遇事件的识别方法/途径、风险和机遇事件的评估方式、制定主要风险和机遇事件的应对措施的要求、评价这些措施有效性的方法。</w:t>
            </w:r>
          </w:p>
          <w:p>
            <w:pPr>
              <w:pStyle w:val="15"/>
              <w:widowControl w:val="0"/>
              <w:numPr>
                <w:ilvl w:val="0"/>
                <w:numId w:val="0"/>
              </w:numPr>
              <w:spacing w:line="280" w:lineRule="exact"/>
              <w:jc w:val="left"/>
              <w:rPr>
                <w:rFonts w:hint="eastAsia" w:cs="宋体" w:asciiTheme="minorEastAsia" w:hAnsiTheme="minorEastAsia" w:eastAsiaTheme="minorEastAsia"/>
                <w:sz w:val="21"/>
                <w:szCs w:val="21"/>
                <w:lang w:val="en-US" w:eastAsia="zh-CN"/>
              </w:rPr>
            </w:pPr>
          </w:p>
        </w:tc>
        <w:tc>
          <w:tcPr>
            <w:tcW w:w="730"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0" w:hRule="atLeast"/>
        </w:trPr>
        <w:tc>
          <w:tcPr>
            <w:tcW w:w="1189" w:type="dxa"/>
            <w:vAlign w:val="top"/>
          </w:tcPr>
          <w:p>
            <w:pPr>
              <w:spacing w:line="280" w:lineRule="exact"/>
              <w:rPr>
                <w:rFonts w:cs="宋体" w:asciiTheme="minorEastAsia" w:hAnsiTheme="minorEastAsia" w:eastAsiaTheme="minorEastAsia"/>
                <w:szCs w:val="21"/>
              </w:rPr>
            </w:pPr>
          </w:p>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质量目标</w:t>
            </w:r>
          </w:p>
          <w:p>
            <w:pPr>
              <w:spacing w:line="280" w:lineRule="exact"/>
              <w:rPr>
                <w:rFonts w:cs="Times New Roman" w:asciiTheme="minorEastAsia" w:hAnsiTheme="minorEastAsia" w:eastAsiaTheme="minorEastAsia"/>
                <w:kern w:val="2"/>
                <w:sz w:val="21"/>
                <w:lang w:val="en-US" w:eastAsia="zh-CN" w:bidi="ar-SA"/>
              </w:rPr>
            </w:pPr>
          </w:p>
        </w:tc>
        <w:tc>
          <w:tcPr>
            <w:tcW w:w="717" w:type="dxa"/>
            <w:vAlign w:val="top"/>
          </w:tcPr>
          <w:p>
            <w:pPr>
              <w:spacing w:line="280" w:lineRule="exact"/>
              <w:rPr>
                <w:rFonts w:asciiTheme="minorEastAsia" w:hAnsiTheme="minorEastAsia" w:eastAsiaTheme="minorEastAsia"/>
                <w:szCs w:val="21"/>
              </w:rPr>
            </w:pPr>
            <w:r>
              <w:rPr>
                <w:rFonts w:asciiTheme="minorEastAsia" w:hAnsiTheme="minorEastAsia" w:eastAsiaTheme="minorEastAsia"/>
                <w:szCs w:val="21"/>
              </w:rPr>
              <w:t xml:space="preserve"> </w:t>
            </w:r>
            <w:r>
              <w:rPr>
                <w:rFonts w:hint="eastAsia" w:asciiTheme="minorEastAsia" w:hAnsiTheme="minorEastAsia" w:eastAsiaTheme="minorEastAsia"/>
                <w:szCs w:val="21"/>
              </w:rPr>
              <w:t>6.2</w:t>
            </w:r>
          </w:p>
          <w:p>
            <w:pPr>
              <w:spacing w:line="280" w:lineRule="exact"/>
              <w:rPr>
                <w:rFonts w:asciiTheme="minorEastAsia" w:hAnsiTheme="minorEastAsia" w:eastAsiaTheme="minorEastAsia"/>
                <w:szCs w:val="21"/>
              </w:rPr>
            </w:pPr>
          </w:p>
          <w:p>
            <w:pPr>
              <w:spacing w:line="280" w:lineRule="exact"/>
              <w:rPr>
                <w:rFonts w:cs="Times New Roman" w:asciiTheme="minorEastAsia" w:hAnsiTheme="minorEastAsia" w:eastAsiaTheme="minorEastAsia"/>
                <w:kern w:val="2"/>
                <w:sz w:val="21"/>
                <w:lang w:val="en-US" w:eastAsia="zh-CN" w:bidi="ar-SA"/>
              </w:rPr>
            </w:pPr>
          </w:p>
        </w:tc>
        <w:tc>
          <w:tcPr>
            <w:tcW w:w="12258" w:type="dxa"/>
            <w:vAlign w:val="center"/>
          </w:tcPr>
          <w:p>
            <w:pPr>
              <w:spacing w:line="280" w:lineRule="exact"/>
              <w:ind w:firstLine="420" w:firstLineChars="200"/>
              <w:rPr>
                <w:rFonts w:hint="eastAsia"/>
              </w:rPr>
            </w:pPr>
            <w:r>
              <w:rPr>
                <w:rFonts w:hint="eastAsia"/>
              </w:rPr>
              <w:t>提供公司质量目标及质量目标部门分解，</w:t>
            </w:r>
            <w:r>
              <w:rPr>
                <w:rFonts w:hint="eastAsia"/>
                <w:lang w:val="en-US" w:eastAsia="zh-CN"/>
              </w:rPr>
              <w:t>分解到各部门，</w:t>
            </w:r>
            <w:r>
              <w:rPr>
                <w:rFonts w:hint="eastAsia"/>
              </w:rPr>
              <w:t>明确考核标准、周期；</w:t>
            </w:r>
          </w:p>
          <w:p>
            <w:pPr>
              <w:spacing w:line="280" w:lineRule="exact"/>
              <w:ind w:firstLine="420" w:firstLineChars="200"/>
              <w:rPr>
                <w:rFonts w:hint="eastAsia"/>
                <w:lang w:eastAsia="zh-CN"/>
              </w:rPr>
            </w:pPr>
            <w:r>
              <w:rPr>
                <w:rFonts w:hint="eastAsia"/>
              </w:rPr>
              <w:t>有2021</w:t>
            </w:r>
            <w:r>
              <w:rPr>
                <w:rFonts w:hint="eastAsia"/>
                <w:lang w:val="en-US" w:eastAsia="zh-CN"/>
              </w:rPr>
              <w:t>年第三季度、第四季度统计目标完成</w:t>
            </w:r>
            <w:r>
              <w:rPr>
                <w:rFonts w:hint="eastAsia"/>
              </w:rPr>
              <w:t>情况记录，目标、指示达成</w:t>
            </w:r>
            <w:r>
              <w:rPr>
                <w:rFonts w:hint="eastAsia"/>
                <w:lang w:eastAsia="zh-CN"/>
              </w:rPr>
              <w:t>：</w:t>
            </w:r>
          </w:p>
          <w:tbl>
            <w:tblPr>
              <w:tblStyle w:val="8"/>
              <w:tblpPr w:leftFromText="180" w:rightFromText="180" w:vertAnchor="text" w:horzAnchor="page" w:tblpX="699" w:tblpY="70"/>
              <w:tblOverlap w:val="never"/>
              <w:tblW w:w="73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29"/>
              <w:gridCol w:w="4157"/>
              <w:gridCol w:w="16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部门</w:t>
                  </w:r>
                </w:p>
              </w:tc>
              <w:tc>
                <w:tcPr>
                  <w:tcW w:w="4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lang w:val="en-US" w:eastAsia="zh-CN"/>
                    </w:rPr>
                  </w:pPr>
                  <w:r>
                    <w:rPr>
                      <w:rFonts w:hint="eastAsia"/>
                      <w:lang w:val="en-US" w:eastAsia="zh-CN"/>
                    </w:rPr>
                    <w:t>质量目标</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lang w:val="en-US" w:eastAsia="zh-CN"/>
                    </w:rPr>
                  </w:pPr>
                  <w:r>
                    <w:rPr>
                      <w:rFonts w:hint="eastAsia"/>
                      <w:lang w:val="en-US" w:eastAsia="zh-CN"/>
                    </w:rPr>
                    <w:t>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15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rPr>
                  </w:pPr>
                  <w:r>
                    <w:rPr>
                      <w:rFonts w:hint="eastAsia"/>
                      <w:lang w:val="en-US" w:eastAsia="zh-CN"/>
                    </w:rPr>
                    <w:t>公司</w:t>
                  </w:r>
                </w:p>
              </w:tc>
              <w:tc>
                <w:tcPr>
                  <w:tcW w:w="4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lang w:val="en-US" w:eastAsia="zh-CN"/>
                    </w:rPr>
                  </w:pPr>
                  <w:r>
                    <w:rPr>
                      <w:rFonts w:hint="eastAsia"/>
                      <w:lang w:val="en-US" w:eastAsia="zh-CN"/>
                    </w:rPr>
                    <w:t xml:space="preserve">产品出厂合格率达到99%    </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lang w:val="en-US" w:eastAsia="zh-CN"/>
                    </w:rPr>
                  </w:pPr>
                  <w:r>
                    <w:rPr>
                      <w:rFonts w:hint="eastAsia"/>
                      <w:lang w:val="en-US" w:eastAsia="zh-CN"/>
                    </w:rPr>
                    <w:t>99.2%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p>
              </w:tc>
              <w:tc>
                <w:tcPr>
                  <w:tcW w:w="4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lang w:val="en-US" w:eastAsia="zh-CN"/>
                    </w:rPr>
                  </w:pPr>
                  <w:r>
                    <w:rPr>
                      <w:rFonts w:hint="eastAsia"/>
                      <w:lang w:val="en-US" w:eastAsia="zh-CN"/>
                    </w:rPr>
                    <w:t>一次交检合格率达到99.5%</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lang w:val="en-US" w:eastAsia="zh-CN"/>
                    </w:rPr>
                  </w:pPr>
                  <w:r>
                    <w:rPr>
                      <w:rFonts w:hint="eastAsia"/>
                      <w:lang w:val="en-US" w:eastAsia="zh-CN"/>
                    </w:rPr>
                    <w:t>99.85%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1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p>
              </w:tc>
              <w:tc>
                <w:tcPr>
                  <w:tcW w:w="4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lang w:val="en-US" w:eastAsia="zh-CN"/>
                    </w:rPr>
                  </w:pPr>
                  <w:r>
                    <w:rPr>
                      <w:rFonts w:hint="eastAsia"/>
                      <w:lang w:val="en-US" w:eastAsia="zh-CN"/>
                    </w:rPr>
                    <w:t>顾客满意度&gt;90%</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lang w:val="en-US" w:eastAsia="zh-CN"/>
                    </w:rPr>
                  </w:pPr>
                  <w:r>
                    <w:rPr>
                      <w:rFonts w:hint="eastAsia"/>
                      <w:lang w:val="en-US" w:eastAsia="zh-CN"/>
                    </w:rPr>
                    <w:t>97.85%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p>
              </w:tc>
              <w:tc>
                <w:tcPr>
                  <w:tcW w:w="4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lang w:val="en-US" w:eastAsia="zh-CN"/>
                    </w:rPr>
                  </w:pPr>
                  <w:r>
                    <w:rPr>
                      <w:rFonts w:hint="eastAsia"/>
                      <w:lang w:val="en-US" w:eastAsia="zh-CN"/>
                    </w:rPr>
                    <w:t>合同评审率100%</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lang w:val="en-US" w:eastAsia="zh-CN"/>
                    </w:rPr>
                  </w:pPr>
                  <w:r>
                    <w:rPr>
                      <w:rFonts w:hint="eastAsia"/>
                      <w:lang w:val="en-US" w:eastAsia="zh-CN"/>
                    </w:rPr>
                    <w:t>100%</w:t>
                  </w:r>
                </w:p>
              </w:tc>
            </w:tr>
          </w:tbl>
          <w:p>
            <w:pPr>
              <w:pStyle w:val="2"/>
              <w:rPr>
                <w:rFonts w:hint="eastAsia"/>
              </w:rPr>
            </w:pPr>
          </w:p>
          <w:p>
            <w:pPr>
              <w:widowControl w:val="0"/>
              <w:numPr>
                <w:ilvl w:val="0"/>
                <w:numId w:val="0"/>
              </w:numPr>
              <w:tabs>
                <w:tab w:val="left" w:pos="420"/>
              </w:tabs>
              <w:spacing w:line="280" w:lineRule="exact"/>
              <w:jc w:val="both"/>
              <w:rPr>
                <w:rFonts w:hint="default"/>
                <w:lang w:val="en-US" w:eastAsia="zh-CN"/>
              </w:rPr>
            </w:pPr>
          </w:p>
          <w:p>
            <w:pPr>
              <w:pStyle w:val="2"/>
              <w:rPr>
                <w:rFonts w:hint="default" w:ascii="Times New Roman" w:hAnsi="Times New Roman" w:cs="Times New Roman" w:eastAsiaTheme="minorEastAsia"/>
                <w:kern w:val="2"/>
                <w:sz w:val="21"/>
                <w:szCs w:val="21"/>
                <w:lang w:val="en-US" w:eastAsia="zh-CN" w:bidi="ar-SA"/>
              </w:rPr>
            </w:pPr>
          </w:p>
          <w:p>
            <w:pPr>
              <w:pStyle w:val="2"/>
              <w:rPr>
                <w:rFonts w:hint="default" w:ascii="Times New Roman" w:hAnsi="Times New Roman" w:cs="Times New Roman" w:eastAsiaTheme="minorEastAsia"/>
                <w:kern w:val="2"/>
                <w:sz w:val="21"/>
                <w:szCs w:val="21"/>
                <w:lang w:val="en-US" w:eastAsia="zh-CN" w:bidi="ar-SA"/>
              </w:rPr>
            </w:pPr>
          </w:p>
          <w:p>
            <w:pPr>
              <w:pStyle w:val="2"/>
              <w:rPr>
                <w:rFonts w:hint="default" w:ascii="Times New Roman" w:hAnsi="Times New Roman" w:cs="Times New Roman" w:eastAsiaTheme="minorEastAsia"/>
                <w:kern w:val="2"/>
                <w:sz w:val="21"/>
                <w:szCs w:val="21"/>
                <w:lang w:val="en-US" w:eastAsia="zh-CN" w:bidi="ar-SA"/>
              </w:rPr>
            </w:pPr>
          </w:p>
          <w:p>
            <w:pPr>
              <w:pStyle w:val="2"/>
              <w:ind w:firstLine="690" w:firstLineChars="300"/>
              <w:rPr>
                <w:rFonts w:hint="eastAsia" w:cs="宋体" w:asciiTheme="minorEastAsia" w:hAnsiTheme="minorEastAsia" w:eastAsiaTheme="minorEastAsia"/>
                <w:szCs w:val="21"/>
                <w:lang w:val="en-US" w:eastAsia="zh-CN"/>
              </w:rPr>
            </w:pPr>
          </w:p>
          <w:p>
            <w:pPr>
              <w:pStyle w:val="2"/>
              <w:ind w:firstLine="690" w:firstLineChars="300"/>
              <w:rPr>
                <w:rFonts w:hint="eastAsia" w:cs="宋体" w:asciiTheme="minorEastAsia" w:hAnsiTheme="minorEastAsia" w:eastAsiaTheme="minorEastAsia"/>
                <w:szCs w:val="21"/>
                <w:lang w:val="en-US" w:eastAsia="zh-CN"/>
              </w:rPr>
            </w:pPr>
          </w:p>
          <w:p>
            <w:pPr>
              <w:pStyle w:val="2"/>
              <w:rPr>
                <w:rFonts w:hint="eastAsia"/>
                <w:lang w:eastAsia="zh-CN"/>
              </w:rPr>
            </w:pPr>
            <w:r>
              <w:rPr>
                <w:rFonts w:hint="eastAsia" w:cs="宋体" w:asciiTheme="minorEastAsia" w:hAnsiTheme="minorEastAsia" w:eastAsiaTheme="minorEastAsia"/>
                <w:szCs w:val="21"/>
                <w:lang w:val="en-US" w:eastAsia="zh-CN"/>
              </w:rPr>
              <w:t xml:space="preserve">   </w:t>
            </w:r>
            <w:r>
              <w:rPr>
                <w:rFonts w:hint="eastAsia"/>
              </w:rPr>
              <w:t>有202</w:t>
            </w:r>
            <w:r>
              <w:rPr>
                <w:rFonts w:hint="eastAsia"/>
                <w:lang w:val="en-US" w:eastAsia="zh-CN"/>
              </w:rPr>
              <w:t>2年第一季度统计目标完成</w:t>
            </w:r>
            <w:r>
              <w:rPr>
                <w:rFonts w:hint="eastAsia"/>
              </w:rPr>
              <w:t>情况记录，目标、指示</w:t>
            </w:r>
            <w:r>
              <w:rPr>
                <w:rFonts w:hint="eastAsia"/>
                <w:lang w:val="en-US" w:eastAsia="zh-CN"/>
              </w:rPr>
              <w:t>均</w:t>
            </w:r>
            <w:r>
              <w:rPr>
                <w:rFonts w:hint="eastAsia"/>
              </w:rPr>
              <w:t>达成</w:t>
            </w:r>
            <w:r>
              <w:rPr>
                <w:rFonts w:hint="eastAsia"/>
                <w:lang w:eastAsia="zh-CN"/>
              </w:rPr>
              <w:t>：</w:t>
            </w:r>
          </w:p>
          <w:p>
            <w:pPr>
              <w:pStyle w:val="2"/>
              <w:rPr>
                <w:rFonts w:hint="eastAsia"/>
                <w:lang w:eastAsia="zh-CN"/>
              </w:rPr>
            </w:pPr>
          </w:p>
          <w:tbl>
            <w:tblPr>
              <w:tblStyle w:val="8"/>
              <w:tblpPr w:leftFromText="180" w:rightFromText="180" w:vertAnchor="text" w:horzAnchor="page" w:tblpX="699" w:tblpY="70"/>
              <w:tblOverlap w:val="never"/>
              <w:tblW w:w="72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21"/>
              <w:gridCol w:w="4135"/>
              <w:gridCol w:w="16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部门</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lang w:val="en-US" w:eastAsia="zh-CN"/>
                    </w:rPr>
                  </w:pPr>
                  <w:r>
                    <w:rPr>
                      <w:rFonts w:hint="eastAsia"/>
                      <w:lang w:val="en-US" w:eastAsia="zh-CN"/>
                    </w:rPr>
                    <w:t>质量目标</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lang w:val="en-US" w:eastAsia="zh-CN"/>
                    </w:rPr>
                  </w:pPr>
                  <w:r>
                    <w:rPr>
                      <w:rFonts w:hint="eastAsia"/>
                      <w:lang w:val="en-US" w:eastAsia="zh-CN"/>
                    </w:rPr>
                    <w:t>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rPr>
                  </w:pPr>
                  <w:r>
                    <w:rPr>
                      <w:rFonts w:hint="eastAsia"/>
                      <w:lang w:val="en-US" w:eastAsia="zh-CN"/>
                    </w:rPr>
                    <w:t>公司</w:t>
                  </w: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lang w:val="en-US" w:eastAsia="zh-CN"/>
                    </w:rPr>
                  </w:pPr>
                  <w:r>
                    <w:rPr>
                      <w:rFonts w:hint="eastAsia"/>
                      <w:lang w:val="en-US" w:eastAsia="zh-CN"/>
                    </w:rPr>
                    <w:t xml:space="preserve">产品出厂合格率达到99%    </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lang w:val="en-US" w:eastAsia="zh-CN"/>
                    </w:rPr>
                  </w:pPr>
                  <w:r>
                    <w:rPr>
                      <w:rFonts w:hint="eastAsia"/>
                      <w:lang w:val="en-US" w:eastAsia="zh-CN"/>
                    </w:rPr>
                    <w:t>99.2%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p>
              </w:tc>
              <w:tc>
                <w:tcPr>
                  <w:tcW w:w="4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lang w:val="en-US" w:eastAsia="zh-CN"/>
                    </w:rPr>
                  </w:pPr>
                  <w:r>
                    <w:rPr>
                      <w:rFonts w:hint="eastAsia"/>
                      <w:lang w:val="en-US" w:eastAsia="zh-CN"/>
                    </w:rPr>
                    <w:t>车辆及五金配件一次交检合格率达到99.5%</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lang w:val="en-US" w:eastAsia="zh-CN"/>
                    </w:rPr>
                  </w:pPr>
                  <w:r>
                    <w:rPr>
                      <w:rFonts w:hint="eastAsia"/>
                      <w:lang w:val="en-US" w:eastAsia="zh-CN"/>
                    </w:rPr>
                    <w:t>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p>
              </w:tc>
              <w:tc>
                <w:tcPr>
                  <w:tcW w:w="4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lang w:val="en-US" w:eastAsia="zh-CN"/>
                    </w:rPr>
                  </w:pPr>
                  <w:r>
                    <w:rPr>
                      <w:rFonts w:hint="eastAsia"/>
                      <w:lang w:val="en-US" w:eastAsia="zh-CN"/>
                    </w:rPr>
                    <w:t>顾客满意度&gt;90%</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lang w:val="en-US" w:eastAsia="zh-CN"/>
                    </w:rPr>
                  </w:pPr>
                  <w:r>
                    <w:rPr>
                      <w:rFonts w:hint="eastAsia"/>
                      <w:lang w:val="en-US" w:eastAsia="zh-CN"/>
                    </w:rPr>
                    <w:t>97.85%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p>
              </w:tc>
              <w:tc>
                <w:tcPr>
                  <w:tcW w:w="4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lang w:val="en-US" w:eastAsia="zh-CN"/>
                    </w:rPr>
                  </w:pPr>
                  <w:r>
                    <w:rPr>
                      <w:rFonts w:hint="eastAsia"/>
                      <w:lang w:val="en-US" w:eastAsia="zh-CN"/>
                    </w:rPr>
                    <w:t>合同评审率100%</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lang w:val="en-US" w:eastAsia="zh-CN"/>
                    </w:rPr>
                  </w:pPr>
                  <w:r>
                    <w:rPr>
                      <w:rFonts w:hint="eastAsia"/>
                      <w:lang w:val="en-US" w:eastAsia="zh-CN"/>
                    </w:rPr>
                    <w:t>100%</w:t>
                  </w:r>
                </w:p>
              </w:tc>
            </w:tr>
          </w:tbl>
          <w:p>
            <w:pPr>
              <w:pStyle w:val="2"/>
              <w:rPr>
                <w:rFonts w:hint="default"/>
                <w:lang w:val="en-US" w:eastAsia="zh-CN"/>
              </w:rPr>
            </w:pPr>
          </w:p>
          <w:p>
            <w:pPr>
              <w:pStyle w:val="2"/>
              <w:ind w:firstLine="690" w:firstLineChars="300"/>
              <w:rPr>
                <w:rFonts w:hint="eastAsia" w:cs="宋体" w:asciiTheme="minorEastAsia" w:hAnsiTheme="minorEastAsia" w:eastAsiaTheme="minorEastAsia"/>
                <w:szCs w:val="21"/>
                <w:lang w:val="en-US" w:eastAsia="zh-CN"/>
              </w:rPr>
            </w:pPr>
          </w:p>
          <w:p>
            <w:pPr>
              <w:pStyle w:val="2"/>
              <w:ind w:firstLine="690" w:firstLineChars="300"/>
              <w:rPr>
                <w:rFonts w:hint="eastAsia" w:cs="宋体" w:asciiTheme="minorEastAsia" w:hAnsiTheme="minorEastAsia" w:eastAsiaTheme="minorEastAsia"/>
                <w:szCs w:val="21"/>
                <w:lang w:val="en-US" w:eastAsia="zh-CN"/>
              </w:rPr>
            </w:pPr>
          </w:p>
          <w:p>
            <w:pPr>
              <w:pStyle w:val="2"/>
              <w:ind w:firstLine="690" w:firstLineChars="300"/>
              <w:rPr>
                <w:rFonts w:hint="eastAsia" w:cs="宋体" w:asciiTheme="minorEastAsia" w:hAnsiTheme="minorEastAsia" w:eastAsiaTheme="minorEastAsia"/>
                <w:szCs w:val="21"/>
                <w:lang w:val="en-US" w:eastAsia="zh-CN"/>
              </w:rPr>
            </w:pPr>
          </w:p>
          <w:p>
            <w:pPr>
              <w:pStyle w:val="2"/>
              <w:ind w:firstLine="690" w:firstLineChars="300"/>
              <w:rPr>
                <w:rFonts w:hint="eastAsia" w:cs="宋体" w:asciiTheme="minorEastAsia" w:hAnsiTheme="minorEastAsia" w:eastAsiaTheme="minorEastAsia"/>
                <w:szCs w:val="21"/>
                <w:lang w:val="en-US" w:eastAsia="zh-CN"/>
              </w:rPr>
            </w:pPr>
          </w:p>
          <w:p>
            <w:pPr>
              <w:pStyle w:val="2"/>
              <w:ind w:firstLine="690" w:firstLineChars="300"/>
              <w:rPr>
                <w:rFonts w:hint="eastAsia" w:cs="宋体" w:asciiTheme="minorEastAsia" w:hAnsiTheme="minorEastAsia" w:eastAsiaTheme="minorEastAsia"/>
                <w:szCs w:val="21"/>
                <w:lang w:val="en-US" w:eastAsia="zh-CN"/>
              </w:rPr>
            </w:pPr>
          </w:p>
          <w:p>
            <w:pPr>
              <w:pStyle w:val="2"/>
              <w:ind w:firstLine="690" w:firstLineChars="300"/>
              <w:rPr>
                <w:rFonts w:hint="default" w:ascii="Times New Roman" w:hAnsi="Times New Roman" w:cs="Times New Roman" w:eastAsiaTheme="minorEastAsia"/>
                <w:kern w:val="2"/>
                <w:sz w:val="21"/>
                <w:szCs w:val="21"/>
                <w:lang w:val="en-US" w:eastAsia="zh-CN" w:bidi="ar-SA"/>
              </w:rPr>
            </w:pPr>
            <w:r>
              <w:rPr>
                <w:rFonts w:hint="eastAsia" w:cs="宋体" w:asciiTheme="minorEastAsia" w:hAnsiTheme="minorEastAsia" w:eastAsiaTheme="minorEastAsia"/>
                <w:szCs w:val="21"/>
                <w:lang w:val="en-US" w:eastAsia="zh-CN"/>
              </w:rPr>
              <w:t xml:space="preserve">记录统计考核时间    批准：相鹏飞     </w:t>
            </w:r>
          </w:p>
        </w:tc>
        <w:tc>
          <w:tcPr>
            <w:tcW w:w="730"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189" w:type="dxa"/>
            <w:vAlign w:val="top"/>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变更的策划</w:t>
            </w:r>
          </w:p>
          <w:p>
            <w:pPr>
              <w:spacing w:line="280" w:lineRule="exact"/>
              <w:rPr>
                <w:rFonts w:cs="Times New Roman" w:asciiTheme="minorEastAsia" w:hAnsiTheme="minorEastAsia" w:eastAsiaTheme="minorEastAsia"/>
                <w:kern w:val="2"/>
                <w:sz w:val="21"/>
                <w:lang w:val="en-US" w:eastAsia="zh-CN" w:bidi="ar-SA"/>
              </w:rPr>
            </w:pPr>
          </w:p>
        </w:tc>
        <w:tc>
          <w:tcPr>
            <w:tcW w:w="717" w:type="dxa"/>
            <w:vAlign w:val="top"/>
          </w:tcPr>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6.3</w:t>
            </w:r>
          </w:p>
          <w:p>
            <w:pPr>
              <w:spacing w:line="280" w:lineRule="exact"/>
              <w:rPr>
                <w:rFonts w:cs="Times New Roman" w:asciiTheme="minorEastAsia" w:hAnsiTheme="minorEastAsia" w:eastAsiaTheme="minorEastAsia"/>
                <w:kern w:val="2"/>
                <w:sz w:val="21"/>
                <w:lang w:val="en-US" w:eastAsia="zh-CN" w:bidi="ar-SA"/>
              </w:rPr>
            </w:pPr>
          </w:p>
        </w:tc>
        <w:tc>
          <w:tcPr>
            <w:tcW w:w="12258" w:type="dxa"/>
            <w:vAlign w:val="center"/>
          </w:tcPr>
          <w:p>
            <w:pPr>
              <w:spacing w:line="280" w:lineRule="exact"/>
              <w:rPr>
                <w:rFonts w:hint="eastAsia"/>
                <w:lang w:eastAsia="zh-CN"/>
              </w:rPr>
            </w:pPr>
            <w:r>
              <w:rPr>
                <w:rFonts w:hint="eastAsia"/>
              </w:rPr>
              <w:t xml:space="preserve">  </w:t>
            </w:r>
            <w:r>
              <w:rPr>
                <w:rFonts w:hint="eastAsia"/>
                <w:lang w:val="en-US" w:eastAsia="zh-CN"/>
              </w:rPr>
              <w:t xml:space="preserve">  </w:t>
            </w:r>
            <w:r>
              <w:rPr>
                <w:rFonts w:hint="eastAsia"/>
              </w:rPr>
              <w:t>公司建立</w:t>
            </w:r>
            <w:r>
              <w:rPr>
                <w:rFonts w:hint="eastAsia"/>
                <w:lang w:eastAsia="zh-CN"/>
              </w:rPr>
              <w:t>质量管理体系</w:t>
            </w:r>
            <w:r>
              <w:rPr>
                <w:rFonts w:hint="eastAsia"/>
              </w:rPr>
              <w:t>，实施日期：20</w:t>
            </w:r>
            <w:r>
              <w:rPr>
                <w:rFonts w:hint="eastAsia"/>
                <w:lang w:val="en-US" w:eastAsia="zh-CN"/>
              </w:rPr>
              <w:t>21</w:t>
            </w:r>
            <w:r>
              <w:rPr>
                <w:rFonts w:hint="eastAsia"/>
              </w:rPr>
              <w:t>.</w:t>
            </w:r>
            <w:r>
              <w:rPr>
                <w:rFonts w:hint="eastAsia"/>
                <w:lang w:val="en-US" w:eastAsia="zh-CN"/>
              </w:rPr>
              <w:t>9</w:t>
            </w:r>
            <w:r>
              <w:rPr>
                <w:rFonts w:hint="eastAsia"/>
              </w:rPr>
              <w:t>.</w:t>
            </w:r>
            <w:r>
              <w:t>1</w:t>
            </w:r>
            <w:r>
              <w:rPr>
                <w:rFonts w:hint="eastAsia"/>
                <w:lang w:eastAsia="zh-CN"/>
              </w:rPr>
              <w:t>；</w:t>
            </w:r>
          </w:p>
          <w:p>
            <w:pPr>
              <w:spacing w:line="280" w:lineRule="exact"/>
              <w:ind w:firstLine="420" w:firstLineChars="200"/>
              <w:rPr>
                <w:rFonts w:hint="eastAsia"/>
              </w:rPr>
            </w:pPr>
            <w:r>
              <w:rPr>
                <w:rFonts w:hint="eastAsia"/>
              </w:rPr>
              <w:t>负责人明确公司确定需要对管理体系进行变更时，应经策划并系统的实施，考虑变更目的及其潜在后果</w:t>
            </w:r>
            <w:r>
              <w:rPr>
                <w:rFonts w:hint="eastAsia"/>
                <w:lang w:eastAsia="zh-CN"/>
              </w:rPr>
              <w:t>、</w:t>
            </w:r>
            <w:r>
              <w:rPr>
                <w:rFonts w:hint="eastAsia"/>
              </w:rPr>
              <w:t>管理体系的完整性</w:t>
            </w:r>
            <w:r>
              <w:rPr>
                <w:rFonts w:hint="eastAsia"/>
                <w:lang w:eastAsia="zh-CN"/>
              </w:rPr>
              <w:t>、</w:t>
            </w:r>
            <w:r>
              <w:rPr>
                <w:rFonts w:hint="eastAsia"/>
              </w:rPr>
              <w:t>资源的可获得性</w:t>
            </w:r>
            <w:r>
              <w:rPr>
                <w:rFonts w:hint="eastAsia"/>
                <w:lang w:eastAsia="zh-CN"/>
              </w:rPr>
              <w:t>、</w:t>
            </w:r>
            <w:r>
              <w:rPr>
                <w:rFonts w:hint="eastAsia"/>
              </w:rPr>
              <w:t>责任和权限的分配与再分配。</w:t>
            </w:r>
          </w:p>
          <w:p>
            <w:pPr>
              <w:pStyle w:val="2"/>
              <w:rPr>
                <w:rFonts w:hint="default" w:eastAsiaTheme="minorEastAsia"/>
                <w:lang w:val="en-US" w:eastAsia="zh-CN"/>
              </w:rPr>
            </w:pPr>
            <w:r>
              <w:rPr>
                <w:rFonts w:hint="eastAsia" w:asciiTheme="minorEastAsia" w:hAnsiTheme="minorEastAsia" w:eastAsiaTheme="minorEastAsia"/>
                <w:sz w:val="21"/>
                <w:szCs w:val="21"/>
                <w:lang w:val="en-US" w:eastAsia="zh-CN"/>
              </w:rPr>
              <w:t xml:space="preserve">   自体系运行以来无重大变更。</w:t>
            </w:r>
          </w:p>
        </w:tc>
        <w:tc>
          <w:tcPr>
            <w:tcW w:w="730"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1189" w:type="dxa"/>
            <w:vAlign w:val="top"/>
          </w:tcPr>
          <w:p>
            <w:pPr>
              <w:spacing w:line="280" w:lineRule="exact"/>
              <w:rPr>
                <w:rFonts w:hint="eastAsia" w:ascii="宋体" w:hAnsi="宋体" w:cs="Arial"/>
                <w:spacing w:val="-6"/>
                <w:szCs w:val="21"/>
              </w:rPr>
            </w:pPr>
            <w:r>
              <w:rPr>
                <w:rFonts w:hint="eastAsia" w:ascii="宋体" w:hAnsi="宋体" w:cs="Arial"/>
                <w:spacing w:val="-6"/>
                <w:sz w:val="21"/>
                <w:szCs w:val="21"/>
              </w:rPr>
              <w:t>资源总则</w:t>
            </w:r>
          </w:p>
        </w:tc>
        <w:tc>
          <w:tcPr>
            <w:tcW w:w="717" w:type="dxa"/>
            <w:vAlign w:val="top"/>
          </w:tcPr>
          <w:p>
            <w:pPr>
              <w:spacing w:line="280" w:lineRule="exact"/>
              <w:rPr>
                <w:rFonts w:cs="Arial" w:asciiTheme="minorEastAsia" w:hAnsiTheme="minorEastAsia" w:eastAsiaTheme="minorEastAsia"/>
                <w:spacing w:val="-6"/>
                <w:szCs w:val="24"/>
              </w:rPr>
            </w:pPr>
            <w:r>
              <w:rPr>
                <w:rFonts w:hint="eastAsia" w:ascii="宋体" w:hAnsi="宋体" w:cs="Arial"/>
                <w:spacing w:val="-6"/>
                <w:sz w:val="21"/>
                <w:szCs w:val="21"/>
              </w:rPr>
              <w:t>7.1.1</w:t>
            </w:r>
          </w:p>
        </w:tc>
        <w:tc>
          <w:tcPr>
            <w:tcW w:w="12258" w:type="dxa"/>
            <w:vAlign w:val="center"/>
          </w:tcPr>
          <w:p>
            <w:pPr>
              <w:spacing w:line="280" w:lineRule="exact"/>
              <w:ind w:firstLine="420" w:firstLineChars="200"/>
              <w:jc w:val="left"/>
              <w:rPr>
                <w:rFonts w:hint="eastAsia"/>
              </w:rPr>
            </w:pPr>
            <w:r>
              <w:rPr>
                <w:rFonts w:hint="eastAsia"/>
              </w:rPr>
              <w:t>公司配备了必要的</w:t>
            </w:r>
            <w:r>
              <w:rPr>
                <w:rFonts w:hint="eastAsia"/>
                <w:lang w:val="en-US" w:eastAsia="zh-CN"/>
              </w:rPr>
              <w:t>厂房设施、</w:t>
            </w:r>
            <w:r>
              <w:rPr>
                <w:rFonts w:hint="eastAsia"/>
              </w:rPr>
              <w:t>人力资源</w:t>
            </w:r>
            <w:r>
              <w:rPr>
                <w:rFonts w:hint="eastAsia"/>
                <w:lang w:eastAsia="zh-CN"/>
              </w:rPr>
              <w:t>、</w:t>
            </w:r>
            <w:r>
              <w:rPr>
                <w:rFonts w:hint="eastAsia"/>
                <w:lang w:val="en-US" w:eastAsia="zh-CN"/>
              </w:rPr>
              <w:t>设备</w:t>
            </w:r>
            <w:r>
              <w:rPr>
                <w:rFonts w:hint="eastAsia"/>
              </w:rPr>
              <w:t>、办公用品等及规范文件、资金等必要的资源，能够持续满足顾客需求和管理体系运行改进的需要；</w:t>
            </w:r>
          </w:p>
          <w:p>
            <w:pPr>
              <w:spacing w:line="280" w:lineRule="exact"/>
              <w:ind w:firstLine="420" w:firstLineChars="200"/>
              <w:rPr>
                <w:rFonts w:hint="eastAsia" w:asciiTheme="minorEastAsia" w:hAnsiTheme="minorEastAsia" w:eastAsiaTheme="minorEastAsia"/>
                <w:sz w:val="21"/>
                <w:szCs w:val="21"/>
              </w:rPr>
            </w:pPr>
            <w:r>
              <w:rPr>
                <w:rFonts w:hint="eastAsia"/>
                <w:lang w:val="en-US" w:eastAsia="zh-CN"/>
              </w:rPr>
              <w:t>目前资源能够满足当前实际需要。</w:t>
            </w:r>
          </w:p>
        </w:tc>
        <w:tc>
          <w:tcPr>
            <w:tcW w:w="730" w:type="dxa"/>
            <w:vAlign w:val="top"/>
          </w:tcPr>
          <w:p>
            <w:pPr>
              <w:rPr>
                <w:rFonts w:hint="eastAsia"/>
                <w:lang w:val="en-US" w:eastAsia="zh-CN"/>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9" w:type="dxa"/>
            <w:vAlign w:val="top"/>
          </w:tcPr>
          <w:p>
            <w:pPr>
              <w:spacing w:line="280" w:lineRule="exact"/>
              <w:rPr>
                <w:rFonts w:cs="Times New Roman" w:asciiTheme="minorEastAsia" w:hAnsiTheme="minorEastAsia" w:eastAsiaTheme="minorEastAsia"/>
                <w:kern w:val="2"/>
                <w:sz w:val="21"/>
                <w:lang w:val="en-US" w:eastAsia="zh-CN" w:bidi="ar-SA"/>
              </w:rPr>
            </w:pPr>
            <w:r>
              <w:rPr>
                <w:rFonts w:hint="eastAsia" w:ascii="宋体" w:hAnsi="宋体" w:cs="Arial"/>
                <w:spacing w:val="-6"/>
                <w:szCs w:val="21"/>
              </w:rPr>
              <w:t>沟通</w:t>
            </w:r>
          </w:p>
        </w:tc>
        <w:tc>
          <w:tcPr>
            <w:tcW w:w="717" w:type="dxa"/>
            <w:vAlign w:val="top"/>
          </w:tcPr>
          <w:p>
            <w:pPr>
              <w:spacing w:line="280" w:lineRule="exact"/>
              <w:rPr>
                <w:rFonts w:cs="Times New Roman" w:asciiTheme="minorEastAsia" w:hAnsiTheme="minorEastAsia" w:eastAsiaTheme="minorEastAsia"/>
                <w:kern w:val="2"/>
                <w:sz w:val="21"/>
                <w:lang w:val="en-US" w:eastAsia="zh-CN" w:bidi="ar-SA"/>
              </w:rPr>
            </w:pPr>
            <w:r>
              <w:rPr>
                <w:rFonts w:cs="Arial" w:asciiTheme="minorEastAsia" w:hAnsiTheme="minorEastAsia" w:eastAsiaTheme="minorEastAsia"/>
                <w:spacing w:val="-6"/>
                <w:szCs w:val="24"/>
              </w:rPr>
              <w:t xml:space="preserve"> 7.4</w:t>
            </w:r>
          </w:p>
        </w:tc>
        <w:tc>
          <w:tcPr>
            <w:tcW w:w="12258" w:type="dxa"/>
            <w:vAlign w:val="center"/>
          </w:tcPr>
          <w:p>
            <w:pPr>
              <w:spacing w:line="2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公司确定了质量管理体系相关的内部和外部沟通，包括：沟通什么；何时沟通；与谁沟通；如何沟通；由谁负责，内外部沟通具体体现在公司内部工作会议、质量会议、员工的培训、公司宣传栏等；</w:t>
            </w:r>
          </w:p>
          <w:p>
            <w:pPr>
              <w:spacing w:line="2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公司建立沟通</w:t>
            </w:r>
            <w:r>
              <w:rPr>
                <w:rFonts w:hint="eastAsia" w:asciiTheme="minorEastAsia" w:hAnsiTheme="minorEastAsia" w:eastAsiaTheme="minorEastAsia"/>
                <w:sz w:val="21"/>
                <w:szCs w:val="21"/>
                <w:lang w:val="en-US" w:eastAsia="zh-CN"/>
              </w:rPr>
              <w:t>渠道并进行管理</w:t>
            </w:r>
            <w:r>
              <w:rPr>
                <w:rFonts w:hint="eastAsia" w:asciiTheme="minorEastAsia" w:hAnsiTheme="minorEastAsia" w:eastAsiaTheme="minorEastAsia"/>
                <w:sz w:val="21"/>
                <w:szCs w:val="21"/>
              </w:rPr>
              <w:t>，明确职责、工作流程，包括内部沟通和外部沟通的方法和要求。</w:t>
            </w:r>
          </w:p>
          <w:p>
            <w:pPr>
              <w:spacing w:line="28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与外部的沟通具体体现在合同签订、满意度调查</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与质检及顾客和供方等进行沟通。</w:t>
            </w:r>
          </w:p>
          <w:p>
            <w:pPr>
              <w:spacing w:line="280" w:lineRule="exact"/>
              <w:ind w:firstLine="420" w:firstLineChars="200"/>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rPr>
              <w:t>现场查阅内部交流：方针、目标完成情况、内审和管理评审报告、不符合信息等。</w:t>
            </w:r>
          </w:p>
        </w:tc>
        <w:tc>
          <w:tcPr>
            <w:tcW w:w="730"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189" w:type="dxa"/>
            <w:vAlign w:val="top"/>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管理评审</w:t>
            </w:r>
          </w:p>
          <w:p>
            <w:pPr>
              <w:spacing w:line="280" w:lineRule="exact"/>
              <w:rPr>
                <w:rFonts w:cs="Times New Roman" w:asciiTheme="minorEastAsia" w:hAnsiTheme="minorEastAsia" w:eastAsiaTheme="minorEastAsia"/>
                <w:kern w:val="2"/>
                <w:sz w:val="21"/>
                <w:lang w:val="en-US" w:eastAsia="zh-CN" w:bidi="ar-SA"/>
              </w:rPr>
            </w:pPr>
          </w:p>
        </w:tc>
        <w:tc>
          <w:tcPr>
            <w:tcW w:w="717" w:type="dxa"/>
            <w:vAlign w:val="top"/>
          </w:tcPr>
          <w:p>
            <w:pPr>
              <w:spacing w:line="280" w:lineRule="exact"/>
              <w:rPr>
                <w:rFonts w:asciiTheme="minorEastAsia" w:hAnsiTheme="minorEastAsia" w:eastAsiaTheme="minorEastAsia"/>
                <w:szCs w:val="21"/>
              </w:rPr>
            </w:pPr>
            <w:r>
              <w:rPr>
                <w:rFonts w:asciiTheme="minorEastAsia" w:hAnsiTheme="minorEastAsia" w:eastAsiaTheme="minorEastAsia"/>
                <w:szCs w:val="21"/>
              </w:rPr>
              <w:t xml:space="preserve"> </w:t>
            </w:r>
            <w:r>
              <w:rPr>
                <w:rFonts w:hint="eastAsia" w:asciiTheme="minorEastAsia" w:hAnsiTheme="minorEastAsia" w:eastAsiaTheme="minorEastAsia"/>
                <w:szCs w:val="21"/>
              </w:rPr>
              <w:t>9.3</w:t>
            </w:r>
          </w:p>
          <w:p>
            <w:pPr>
              <w:spacing w:line="280" w:lineRule="exact"/>
              <w:rPr>
                <w:rFonts w:asciiTheme="minorEastAsia" w:hAnsiTheme="minorEastAsia" w:eastAsiaTheme="minorEastAsia"/>
                <w:szCs w:val="21"/>
              </w:rPr>
            </w:pPr>
          </w:p>
          <w:p>
            <w:pPr>
              <w:spacing w:line="280" w:lineRule="exact"/>
              <w:rPr>
                <w:rFonts w:cs="Times New Roman" w:asciiTheme="minorEastAsia" w:hAnsiTheme="minorEastAsia" w:eastAsiaTheme="minorEastAsia"/>
                <w:kern w:val="2"/>
                <w:sz w:val="21"/>
                <w:lang w:val="en-US" w:eastAsia="zh-CN" w:bidi="ar-SA"/>
              </w:rPr>
            </w:pPr>
          </w:p>
        </w:tc>
        <w:tc>
          <w:tcPr>
            <w:tcW w:w="12258" w:type="dxa"/>
            <w:vAlign w:val="center"/>
          </w:tcPr>
          <w:p>
            <w:pPr>
              <w:spacing w:line="240" w:lineRule="auto"/>
              <w:ind w:leftChars="200"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公司建立并实施《管理评审控制程序》，规定管理评审每年进行一次，由总经理决定是否增加管理评审的频次，间隔不超过12个月。</w:t>
            </w:r>
          </w:p>
          <w:p>
            <w:pPr>
              <w:spacing w:line="240" w:lineRule="auto"/>
              <w:ind w:leftChars="200"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查阅公司管理评审资料，提供：</w:t>
            </w:r>
          </w:p>
          <w:p>
            <w:pPr>
              <w:spacing w:line="240" w:lineRule="auto"/>
              <w:ind w:leftChars="200"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1.管理评审计划</w:t>
            </w:r>
          </w:p>
          <w:p>
            <w:pPr>
              <w:spacing w:line="240" w:lineRule="auto"/>
              <w:ind w:leftChars="200"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评审时间：2021年</w:t>
            </w:r>
            <w:r>
              <w:rPr>
                <w:rFonts w:hint="eastAsia" w:asciiTheme="minorEastAsia" w:hAnsiTheme="minorEastAsia" w:eastAsiaTheme="minorEastAsia"/>
                <w:sz w:val="21"/>
                <w:szCs w:val="21"/>
                <w:lang w:val="en-US" w:eastAsia="zh-CN"/>
              </w:rPr>
              <w:t>12</w:t>
            </w:r>
            <w:r>
              <w:rPr>
                <w:rFonts w:hint="eastAsia" w:asciiTheme="minorEastAsia" w:hAnsiTheme="minorEastAsia" w:eastAsiaTheme="minorEastAsia"/>
                <w:sz w:val="21"/>
                <w:szCs w:val="21"/>
              </w:rPr>
              <w:t>月</w:t>
            </w:r>
            <w:r>
              <w:rPr>
                <w:rFonts w:hint="eastAsia" w:asciiTheme="minorEastAsia" w:hAnsiTheme="minorEastAsia" w:eastAsiaTheme="minorEastAsia"/>
                <w:sz w:val="21"/>
                <w:szCs w:val="21"/>
                <w:lang w:val="en-US" w:eastAsia="zh-CN"/>
              </w:rPr>
              <w:t>20</w:t>
            </w:r>
            <w:r>
              <w:rPr>
                <w:rFonts w:hint="eastAsia" w:asciiTheme="minorEastAsia" w:hAnsiTheme="minorEastAsia" w:eastAsiaTheme="minorEastAsia"/>
                <w:sz w:val="21"/>
                <w:szCs w:val="21"/>
              </w:rPr>
              <w:t>日进行， 评审目的、</w:t>
            </w:r>
            <w:r>
              <w:rPr>
                <w:rFonts w:hint="eastAsia" w:asciiTheme="minorEastAsia" w:hAnsiTheme="minorEastAsia" w:eastAsiaTheme="minorEastAsia"/>
                <w:sz w:val="21"/>
                <w:szCs w:val="21"/>
                <w:lang w:val="en-US" w:eastAsia="zh-CN"/>
              </w:rPr>
              <w:t>依据</w:t>
            </w:r>
            <w:r>
              <w:rPr>
                <w:rFonts w:hint="eastAsia" w:asciiTheme="minorEastAsia" w:hAnsiTheme="minorEastAsia" w:eastAsiaTheme="minorEastAsia"/>
                <w:sz w:val="21"/>
                <w:szCs w:val="21"/>
              </w:rPr>
              <w:t>、评审</w:t>
            </w:r>
            <w:r>
              <w:rPr>
                <w:rFonts w:hint="eastAsia" w:asciiTheme="minorEastAsia" w:hAnsiTheme="minorEastAsia" w:eastAsiaTheme="minorEastAsia"/>
                <w:sz w:val="21"/>
                <w:szCs w:val="21"/>
                <w:lang w:val="en-US" w:eastAsia="zh-CN"/>
              </w:rPr>
              <w:t>内容</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参加部门或人员、各部门</w:t>
            </w:r>
            <w:r>
              <w:rPr>
                <w:rFonts w:hint="eastAsia" w:asciiTheme="minorEastAsia" w:hAnsiTheme="minorEastAsia" w:eastAsiaTheme="minorEastAsia"/>
                <w:sz w:val="21"/>
                <w:szCs w:val="21"/>
              </w:rPr>
              <w:t>评审准备工作要求</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lang w:val="en-US" w:eastAsia="zh-CN"/>
              </w:rPr>
              <w:t>评审时间、评审地点</w:t>
            </w:r>
            <w:r>
              <w:rPr>
                <w:rFonts w:hint="eastAsia" w:asciiTheme="minorEastAsia" w:hAnsiTheme="minorEastAsia" w:eastAsiaTheme="minorEastAsia"/>
                <w:sz w:val="21"/>
                <w:szCs w:val="21"/>
              </w:rPr>
              <w:t>， 批准：</w:t>
            </w:r>
            <w:r>
              <w:rPr>
                <w:rFonts w:hint="eastAsia" w:asciiTheme="minorEastAsia" w:hAnsiTheme="minorEastAsia" w:eastAsiaTheme="minorEastAsia"/>
                <w:sz w:val="21"/>
                <w:szCs w:val="21"/>
                <w:lang w:eastAsia="zh-CN"/>
              </w:rPr>
              <w:t>相鹏飞</w:t>
            </w:r>
            <w:r>
              <w:rPr>
                <w:rFonts w:hint="eastAsia" w:asciiTheme="minorEastAsia" w:hAnsiTheme="minorEastAsia" w:eastAsiaTheme="minorEastAsia"/>
                <w:sz w:val="21"/>
                <w:szCs w:val="21"/>
              </w:rPr>
              <w:t xml:space="preserve">   </w:t>
            </w:r>
          </w:p>
          <w:p>
            <w:pPr>
              <w:spacing w:line="240" w:lineRule="auto"/>
              <w:ind w:leftChars="200"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2.按计划的时间实施了管理评审，</w:t>
            </w:r>
            <w:r>
              <w:rPr>
                <w:rFonts w:hint="eastAsia" w:asciiTheme="minorEastAsia" w:hAnsiTheme="minorEastAsia" w:eastAsiaTheme="minorEastAsia"/>
                <w:sz w:val="21"/>
                <w:szCs w:val="21"/>
                <w:lang w:val="en-US" w:eastAsia="zh-CN"/>
              </w:rPr>
              <w:t>总经理卢峰主持会议，</w:t>
            </w:r>
            <w:r>
              <w:rPr>
                <w:rFonts w:hint="eastAsia" w:asciiTheme="minorEastAsia" w:hAnsiTheme="minorEastAsia" w:eastAsiaTheme="minorEastAsia"/>
                <w:sz w:val="21"/>
                <w:szCs w:val="21"/>
              </w:rPr>
              <w:t>管理评审输入管理体系运行报告、</w:t>
            </w:r>
            <w:r>
              <w:rPr>
                <w:rFonts w:hint="eastAsia" w:asciiTheme="minorEastAsia" w:hAnsiTheme="minorEastAsia" w:eastAsiaTheme="minorEastAsia"/>
                <w:sz w:val="21"/>
                <w:szCs w:val="21"/>
                <w:lang w:val="en-US" w:eastAsia="zh-CN"/>
              </w:rPr>
              <w:t>各</w:t>
            </w:r>
            <w:r>
              <w:rPr>
                <w:rFonts w:hint="eastAsia" w:asciiTheme="minorEastAsia" w:hAnsiTheme="minorEastAsia" w:eastAsiaTheme="minorEastAsia"/>
                <w:sz w:val="21"/>
                <w:szCs w:val="21"/>
              </w:rPr>
              <w:t>部门</w:t>
            </w:r>
            <w:r>
              <w:rPr>
                <w:rFonts w:hint="eastAsia" w:asciiTheme="minorEastAsia" w:hAnsiTheme="minorEastAsia" w:eastAsiaTheme="minorEastAsia"/>
                <w:sz w:val="21"/>
                <w:szCs w:val="21"/>
                <w:lang w:val="en-US" w:eastAsia="zh-CN"/>
              </w:rPr>
              <w:t>评审</w:t>
            </w:r>
            <w:r>
              <w:rPr>
                <w:rFonts w:hint="eastAsia" w:asciiTheme="minorEastAsia" w:hAnsiTheme="minorEastAsia" w:eastAsiaTheme="minorEastAsia"/>
                <w:sz w:val="21"/>
                <w:szCs w:val="21"/>
              </w:rPr>
              <w:t>报告，包含：管理方针、目标的适宜行和实现情况；管理体系的符合性；内审结果；内外部环境分析及风险应对措施的落实情况；纠正预防措施及持续改进能力；可能影响管理体系的变更；质量事故、顾客满意度及改进建议，变更管理要求、以往管理评审情况等；</w:t>
            </w:r>
          </w:p>
          <w:p>
            <w:pPr>
              <w:spacing w:line="240" w:lineRule="auto"/>
              <w:ind w:leftChars="200"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3.管理评审报告：评审目的、地点会议室、评审内容、评审时间、参加评审人员、评审内容摘要，评审结论</w:t>
            </w:r>
            <w:r>
              <w:rPr>
                <w:rFonts w:hint="eastAsia" w:asciiTheme="minorEastAsia" w:hAnsiTheme="minorEastAsia" w:eastAsiaTheme="minorEastAsia"/>
                <w:sz w:val="21"/>
                <w:szCs w:val="21"/>
                <w:lang w:eastAsia="zh-CN"/>
              </w:rPr>
              <w:t>：</w:t>
            </w:r>
          </w:p>
          <w:p>
            <w:pPr>
              <w:spacing w:line="240" w:lineRule="auto"/>
              <w:ind w:leftChars="200" w:firstLine="420" w:firstLineChars="200"/>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通过评审，认为公司的质量管理体系经培训学习，更好的与公司的实际相结合，并指导和管理公司的发展。在运行过程中起到了良好的效果和指导作用，证明体系运行是充分、有效的。尽管体系运行取得了一定效果，但相对要求还存在差距，需要在今后的运行过程中逐步完善，加以改进</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lang w:val="en-US" w:eastAsia="zh-CN"/>
              </w:rPr>
              <w:t>并明确下一步改进要求。</w:t>
            </w:r>
          </w:p>
          <w:p>
            <w:pPr>
              <w:spacing w:line="240" w:lineRule="auto"/>
              <w:ind w:left="420" w:leftChars="200" w:firstLine="420" w:firstLineChars="200"/>
              <w:rPr>
                <w:rFonts w:hint="eastAsia" w:asciiTheme="minorEastAsia" w:hAnsiTheme="minorEastAsia" w:eastAsiaTheme="minorEastAsia"/>
                <w:sz w:val="21"/>
                <w:szCs w:val="21"/>
                <w:lang w:val="en-US" w:eastAsia="zh-CN"/>
              </w:rPr>
            </w:pPr>
            <w:r>
              <w:drawing>
                <wp:anchor distT="0" distB="0" distL="114300" distR="114300" simplePos="0" relativeHeight="251659264" behindDoc="0" locked="0" layoutInCell="1" allowOverlap="1">
                  <wp:simplePos x="0" y="0"/>
                  <wp:positionH relativeFrom="column">
                    <wp:posOffset>589280</wp:posOffset>
                  </wp:positionH>
                  <wp:positionV relativeFrom="paragraph">
                    <wp:posOffset>59690</wp:posOffset>
                  </wp:positionV>
                  <wp:extent cx="4200525" cy="1884045"/>
                  <wp:effectExtent l="0" t="0" r="9525" b="190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stretch>
                            <a:fillRect/>
                          </a:stretch>
                        </pic:blipFill>
                        <pic:spPr>
                          <a:xfrm>
                            <a:off x="0" y="0"/>
                            <a:ext cx="4200525" cy="1884045"/>
                          </a:xfrm>
                          <a:prstGeom prst="rect">
                            <a:avLst/>
                          </a:prstGeom>
                          <a:noFill/>
                          <a:ln>
                            <a:noFill/>
                          </a:ln>
                        </pic:spPr>
                      </pic:pic>
                    </a:graphicData>
                  </a:graphic>
                </wp:anchor>
              </w:drawing>
            </w:r>
          </w:p>
          <w:p>
            <w:pPr>
              <w:spacing w:line="240" w:lineRule="auto"/>
              <w:ind w:left="420" w:leftChars="200" w:firstLine="420" w:firstLineChars="200"/>
              <w:rPr>
                <w:rFonts w:hint="eastAsia" w:asciiTheme="minorEastAsia" w:hAnsiTheme="minorEastAsia" w:eastAsiaTheme="minorEastAsia"/>
                <w:sz w:val="21"/>
                <w:szCs w:val="21"/>
                <w:lang w:val="en-US" w:eastAsia="zh-CN"/>
              </w:rPr>
            </w:pPr>
          </w:p>
          <w:p>
            <w:pPr>
              <w:spacing w:line="240" w:lineRule="auto"/>
              <w:ind w:left="420" w:leftChars="200" w:firstLine="420" w:firstLineChars="200"/>
              <w:rPr>
                <w:rFonts w:hint="eastAsia" w:asciiTheme="minorEastAsia" w:hAnsiTheme="minorEastAsia" w:eastAsiaTheme="minorEastAsia"/>
                <w:sz w:val="21"/>
                <w:szCs w:val="21"/>
                <w:lang w:val="en-US" w:eastAsia="zh-CN"/>
              </w:rPr>
            </w:pPr>
          </w:p>
          <w:p>
            <w:pPr>
              <w:spacing w:line="240" w:lineRule="auto"/>
              <w:ind w:left="420" w:leftChars="200" w:firstLine="420" w:firstLineChars="200"/>
              <w:rPr>
                <w:rFonts w:hint="eastAsia" w:asciiTheme="minorEastAsia" w:hAnsiTheme="minorEastAsia" w:eastAsiaTheme="minorEastAsia"/>
                <w:sz w:val="21"/>
                <w:szCs w:val="21"/>
                <w:lang w:val="en-US" w:eastAsia="zh-CN"/>
              </w:rPr>
            </w:pPr>
          </w:p>
          <w:p>
            <w:pPr>
              <w:spacing w:line="240" w:lineRule="auto"/>
              <w:ind w:left="420" w:leftChars="200" w:firstLine="420" w:firstLineChars="200"/>
              <w:rPr>
                <w:rFonts w:hint="eastAsia" w:asciiTheme="minorEastAsia" w:hAnsiTheme="minorEastAsia" w:eastAsiaTheme="minorEastAsia"/>
                <w:sz w:val="21"/>
                <w:szCs w:val="21"/>
                <w:lang w:val="en-US" w:eastAsia="zh-CN"/>
              </w:rPr>
            </w:pPr>
          </w:p>
          <w:p>
            <w:pPr>
              <w:spacing w:line="240" w:lineRule="auto"/>
              <w:ind w:left="420" w:leftChars="200" w:firstLine="420" w:firstLineChars="200"/>
              <w:rPr>
                <w:rFonts w:hint="eastAsia" w:asciiTheme="minorEastAsia" w:hAnsiTheme="minorEastAsia" w:eastAsiaTheme="minorEastAsia"/>
                <w:sz w:val="21"/>
                <w:szCs w:val="21"/>
                <w:lang w:val="en-US" w:eastAsia="zh-CN"/>
              </w:rPr>
            </w:pPr>
          </w:p>
          <w:p>
            <w:pPr>
              <w:spacing w:line="240" w:lineRule="auto"/>
              <w:ind w:left="420" w:leftChars="200" w:firstLine="420" w:firstLineChars="200"/>
              <w:rPr>
                <w:rFonts w:hint="eastAsia" w:asciiTheme="minorEastAsia" w:hAnsiTheme="minorEastAsia" w:eastAsiaTheme="minorEastAsia"/>
                <w:sz w:val="21"/>
                <w:szCs w:val="21"/>
                <w:lang w:val="en-US" w:eastAsia="zh-CN"/>
              </w:rPr>
            </w:pPr>
          </w:p>
          <w:p>
            <w:pPr>
              <w:spacing w:line="240" w:lineRule="auto"/>
              <w:ind w:left="420" w:leftChars="200" w:firstLine="420" w:firstLineChars="200"/>
              <w:rPr>
                <w:rFonts w:hint="eastAsia" w:asciiTheme="minorEastAsia" w:hAnsiTheme="minorEastAsia" w:eastAsiaTheme="minorEastAsia"/>
                <w:sz w:val="21"/>
                <w:szCs w:val="21"/>
                <w:lang w:val="en-US" w:eastAsia="zh-CN"/>
              </w:rPr>
            </w:pPr>
            <w:bookmarkStart w:id="2" w:name="_GoBack"/>
            <w:bookmarkEnd w:id="2"/>
          </w:p>
          <w:p>
            <w:pPr>
              <w:spacing w:line="240" w:lineRule="auto"/>
              <w:ind w:left="420" w:leftChars="200" w:firstLine="420" w:firstLineChars="200"/>
              <w:rPr>
                <w:rFonts w:hint="eastAsia" w:asciiTheme="minorEastAsia" w:hAnsiTheme="minorEastAsia" w:eastAsiaTheme="minorEastAsia"/>
                <w:sz w:val="21"/>
                <w:szCs w:val="21"/>
                <w:lang w:val="en-US" w:eastAsia="zh-CN"/>
              </w:rPr>
            </w:pPr>
          </w:p>
          <w:p>
            <w:pPr>
              <w:spacing w:line="240" w:lineRule="auto"/>
              <w:ind w:left="420" w:leftChars="200" w:firstLine="420" w:firstLineChars="200"/>
              <w:rPr>
                <w:rFonts w:hint="eastAsia" w:asciiTheme="minorEastAsia" w:hAnsiTheme="minorEastAsia" w:eastAsiaTheme="minorEastAsia"/>
                <w:sz w:val="21"/>
                <w:szCs w:val="21"/>
                <w:lang w:val="en-US" w:eastAsia="zh-CN"/>
              </w:rPr>
            </w:pPr>
          </w:p>
          <w:p>
            <w:pPr>
              <w:spacing w:line="240" w:lineRule="auto"/>
              <w:ind w:left="420" w:leftChars="200" w:firstLine="420" w:firstLineChars="200"/>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lang w:val="en-US" w:eastAsia="zh-CN"/>
              </w:rPr>
              <w:t>管理评审策划、实施符合标准和文件要求</w:t>
            </w:r>
            <w:r>
              <w:rPr>
                <w:rFonts w:hint="eastAsia" w:asciiTheme="minorEastAsia" w:hAnsiTheme="minorEastAsia" w:eastAsiaTheme="minorEastAsia"/>
                <w:sz w:val="21"/>
                <w:szCs w:val="21"/>
              </w:rPr>
              <w:t>。</w:t>
            </w:r>
          </w:p>
        </w:tc>
        <w:tc>
          <w:tcPr>
            <w:tcW w:w="730"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189" w:type="dxa"/>
            <w:vAlign w:val="top"/>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改进总则</w:t>
            </w:r>
          </w:p>
          <w:p>
            <w:pPr>
              <w:spacing w:line="280" w:lineRule="exact"/>
              <w:rPr>
                <w:rFonts w:cs="Times New Roman" w:asciiTheme="minorEastAsia" w:hAnsiTheme="minorEastAsia" w:eastAsiaTheme="minorEastAsia"/>
                <w:kern w:val="2"/>
                <w:sz w:val="21"/>
                <w:lang w:val="en-US" w:eastAsia="zh-CN" w:bidi="ar-SA"/>
              </w:rPr>
            </w:pPr>
          </w:p>
        </w:tc>
        <w:tc>
          <w:tcPr>
            <w:tcW w:w="717" w:type="dxa"/>
            <w:vAlign w:val="top"/>
          </w:tcPr>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 xml:space="preserve"> 10.1</w:t>
            </w:r>
          </w:p>
          <w:p>
            <w:pPr>
              <w:spacing w:line="280" w:lineRule="exact"/>
              <w:rPr>
                <w:rFonts w:cs="Times New Roman" w:asciiTheme="minorEastAsia" w:hAnsiTheme="minorEastAsia" w:eastAsiaTheme="minorEastAsia"/>
                <w:kern w:val="2"/>
                <w:sz w:val="21"/>
                <w:lang w:val="en-US" w:eastAsia="zh-CN" w:bidi="ar-SA"/>
              </w:rPr>
            </w:pPr>
          </w:p>
        </w:tc>
        <w:tc>
          <w:tcPr>
            <w:tcW w:w="12258" w:type="dxa"/>
            <w:vAlign w:val="center"/>
          </w:tcPr>
          <w:p>
            <w:pPr>
              <w:spacing w:line="280" w:lineRule="exact"/>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公司通过管理体系方针、目标、内部审核、管理评审、不合格和纠正措施各项要求落实，确定和选择改进机会，并采取必要措施确保相关改进活动得到有效开展，以满足顾客要求和增强顾客满意。</w:t>
            </w:r>
          </w:p>
          <w:p>
            <w:pPr>
              <w:spacing w:line="280" w:lineRule="exact"/>
              <w:ind w:firstLine="420" w:firstLineChars="200"/>
              <w:rPr>
                <w:rFonts w:cs="Times New Roman"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 w:val="21"/>
                <w:szCs w:val="21"/>
              </w:rPr>
              <w:t>包括改进产品和服务，纠正、预防或减少不利影响，改进体系绩效和有效性。</w:t>
            </w:r>
          </w:p>
        </w:tc>
        <w:tc>
          <w:tcPr>
            <w:tcW w:w="730"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189" w:type="dxa"/>
            <w:vAlign w:val="top"/>
          </w:tcPr>
          <w:p>
            <w:pPr>
              <w:spacing w:line="280" w:lineRule="exact"/>
              <w:rPr>
                <w:rFonts w:cs="Times New Roman" w:asciiTheme="minorEastAsia" w:hAnsiTheme="minorEastAsia" w:eastAsiaTheme="minorEastAsia"/>
                <w:kern w:val="2"/>
                <w:sz w:val="21"/>
                <w:lang w:val="en-US" w:eastAsia="zh-CN" w:bidi="ar-SA"/>
              </w:rPr>
            </w:pPr>
            <w:r>
              <w:rPr>
                <w:rFonts w:hint="eastAsia" w:cs="宋体" w:asciiTheme="minorEastAsia" w:hAnsiTheme="minorEastAsia" w:eastAsiaTheme="minorEastAsia"/>
                <w:szCs w:val="21"/>
              </w:rPr>
              <w:t>持续改进</w:t>
            </w:r>
          </w:p>
        </w:tc>
        <w:tc>
          <w:tcPr>
            <w:tcW w:w="717" w:type="dxa"/>
            <w:vAlign w:val="top"/>
          </w:tcPr>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 xml:space="preserve"> 10.3</w:t>
            </w:r>
          </w:p>
          <w:p>
            <w:pPr>
              <w:spacing w:line="280" w:lineRule="exact"/>
              <w:rPr>
                <w:rFonts w:cs="Times New Roman" w:asciiTheme="minorEastAsia" w:hAnsiTheme="minorEastAsia" w:eastAsiaTheme="minorEastAsia"/>
                <w:kern w:val="2"/>
                <w:sz w:val="21"/>
                <w:lang w:val="en-US" w:eastAsia="zh-CN" w:bidi="ar-SA"/>
              </w:rPr>
            </w:pPr>
          </w:p>
        </w:tc>
        <w:tc>
          <w:tcPr>
            <w:tcW w:w="12258" w:type="dxa"/>
            <w:vAlign w:val="center"/>
          </w:tcPr>
          <w:p>
            <w:pPr>
              <w:spacing w:line="280" w:lineRule="exact"/>
              <w:rPr>
                <w:rFonts w:cs="Times New Roman"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 w:val="21"/>
                <w:szCs w:val="21"/>
              </w:rPr>
              <w:t xml:space="preserve">  公司建立并实施</w:t>
            </w:r>
            <w:r>
              <w:rPr>
                <w:rFonts w:hint="eastAsia" w:cs="宋体" w:asciiTheme="minorEastAsia" w:hAnsiTheme="minorEastAsia" w:eastAsiaTheme="minorEastAsia"/>
                <w:sz w:val="21"/>
                <w:szCs w:val="21"/>
                <w:lang w:eastAsia="zh-CN"/>
              </w:rPr>
              <w:t>《</w:t>
            </w:r>
            <w:r>
              <w:rPr>
                <w:rFonts w:hint="eastAsia" w:cs="宋体" w:asciiTheme="minorEastAsia" w:hAnsiTheme="minorEastAsia" w:eastAsiaTheme="minorEastAsia"/>
                <w:sz w:val="21"/>
                <w:szCs w:val="21"/>
                <w:lang w:val="en-US" w:eastAsia="zh-CN"/>
              </w:rPr>
              <w:t>持续改进控制程序</w:t>
            </w:r>
            <w:r>
              <w:rPr>
                <w:rFonts w:hint="eastAsia" w:cs="宋体" w:asciiTheme="minorEastAsia" w:hAnsiTheme="minorEastAsia" w:eastAsiaTheme="minorEastAsia"/>
                <w:sz w:val="21"/>
                <w:szCs w:val="21"/>
                <w:lang w:eastAsia="zh-CN"/>
              </w:rPr>
              <w:t>》</w:t>
            </w:r>
            <w:r>
              <w:rPr>
                <w:rFonts w:hint="eastAsia" w:cs="宋体" w:asciiTheme="minorEastAsia" w:hAnsiTheme="minorEastAsia" w:eastAsiaTheme="minorEastAsia"/>
                <w:sz w:val="21"/>
                <w:szCs w:val="21"/>
              </w:rPr>
              <w:t>，开展检查和考核工作、自查自纠及外部检查等形式，不断持续改进，提高顾客满意，持续改进管理体系的适宜性、充分性和有效性。</w:t>
            </w:r>
          </w:p>
        </w:tc>
        <w:tc>
          <w:tcPr>
            <w:tcW w:w="730" w:type="dxa"/>
            <w:vAlign w:val="top"/>
          </w:tcPr>
          <w:p>
            <w:pPr>
              <w:rPr>
                <w:rFonts w:ascii="Times New Roman" w:hAnsi="Times New Roman" w:eastAsia="宋体" w:cs="Times New Roman"/>
                <w:kern w:val="2"/>
                <w:sz w:val="21"/>
                <w:lang w:val="en-US" w:eastAsia="zh-CN" w:bidi="ar-SA"/>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189" w:type="dxa"/>
            <w:vAlign w:val="top"/>
          </w:tcPr>
          <w:p>
            <w:pPr>
              <w:spacing w:line="280" w:lineRule="exact"/>
              <w:rPr>
                <w:rFonts w:hint="default"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rPr>
              <w:t>资质</w:t>
            </w:r>
            <w:r>
              <w:rPr>
                <w:rFonts w:hint="eastAsia" w:cs="宋体" w:asciiTheme="minorEastAsia" w:hAnsiTheme="minorEastAsia" w:eastAsiaTheme="minorEastAsia"/>
                <w:szCs w:val="21"/>
                <w:lang w:val="en-US" w:eastAsia="zh-CN"/>
              </w:rPr>
              <w:t>验证</w:t>
            </w:r>
          </w:p>
        </w:tc>
        <w:tc>
          <w:tcPr>
            <w:tcW w:w="717" w:type="dxa"/>
            <w:vAlign w:val="top"/>
          </w:tcPr>
          <w:p>
            <w:pPr>
              <w:spacing w:line="280" w:lineRule="exact"/>
              <w:rPr>
                <w:rFonts w:cs="Times New Roman" w:asciiTheme="minorEastAsia" w:hAnsiTheme="minorEastAsia" w:eastAsiaTheme="minorEastAsia"/>
                <w:kern w:val="2"/>
                <w:sz w:val="21"/>
                <w:lang w:val="en-US" w:eastAsia="zh-CN" w:bidi="ar-SA"/>
              </w:rPr>
            </w:pPr>
          </w:p>
        </w:tc>
        <w:tc>
          <w:tcPr>
            <w:tcW w:w="12258" w:type="dxa"/>
            <w:vAlign w:val="center"/>
          </w:tcPr>
          <w:p>
            <w:pPr>
              <w:spacing w:line="280" w:lineRule="exact"/>
              <w:rPr>
                <w:rFonts w:hint="default"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 w:val="21"/>
                <w:szCs w:val="21"/>
              </w:rPr>
              <w:t>提供营业执照在有效期内，包含申请产品范围</w:t>
            </w:r>
            <w:r>
              <w:rPr>
                <w:rFonts w:hint="eastAsia" w:cs="宋体" w:asciiTheme="minorEastAsia" w:hAnsiTheme="minorEastAsia" w:eastAsiaTheme="minorEastAsia"/>
                <w:sz w:val="21"/>
                <w:szCs w:val="21"/>
                <w:lang w:eastAsia="zh-CN"/>
              </w:rPr>
              <w:t>；</w:t>
            </w:r>
            <w:r>
              <w:rPr>
                <w:rFonts w:hint="eastAsia" w:cs="宋体" w:asciiTheme="minorEastAsia" w:hAnsiTheme="minorEastAsia" w:eastAsiaTheme="minorEastAsia"/>
                <w:sz w:val="21"/>
                <w:szCs w:val="21"/>
                <w:lang w:val="en-US" w:eastAsia="zh-CN"/>
              </w:rPr>
              <w:t>具有出口资质，在有效期内。</w:t>
            </w:r>
          </w:p>
        </w:tc>
        <w:tc>
          <w:tcPr>
            <w:tcW w:w="730" w:type="dxa"/>
            <w:vAlign w:val="top"/>
          </w:tcPr>
          <w:p>
            <w:pPr>
              <w:rPr>
                <w:rFonts w:ascii="Times New Roman" w:hAnsi="Times New Roman" w:eastAsia="宋体" w:cs="Times New Roman"/>
                <w:kern w:val="2"/>
                <w:sz w:val="21"/>
                <w:lang w:val="en-US" w:eastAsia="zh-CN" w:bidi="ar-SA"/>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189" w:type="dxa"/>
            <w:vAlign w:val="top"/>
          </w:tcPr>
          <w:p>
            <w:pPr>
              <w:spacing w:line="280" w:lineRule="exact"/>
              <w:rPr>
                <w:rFonts w:cs="Times New Roman" w:asciiTheme="minorEastAsia" w:hAnsiTheme="minorEastAsia" w:eastAsiaTheme="minorEastAsia"/>
                <w:kern w:val="2"/>
                <w:sz w:val="21"/>
                <w:lang w:val="en-US" w:eastAsia="zh-CN" w:bidi="ar-SA"/>
              </w:rPr>
            </w:pPr>
            <w:r>
              <w:rPr>
                <w:rFonts w:hint="eastAsia" w:cs="宋体" w:asciiTheme="minorEastAsia" w:hAnsiTheme="minorEastAsia" w:eastAsiaTheme="minorEastAsia"/>
                <w:szCs w:val="21"/>
              </w:rPr>
              <w:t>事故</w:t>
            </w:r>
          </w:p>
        </w:tc>
        <w:tc>
          <w:tcPr>
            <w:tcW w:w="717" w:type="dxa"/>
            <w:vAlign w:val="top"/>
          </w:tcPr>
          <w:p>
            <w:pPr>
              <w:spacing w:line="280" w:lineRule="exact"/>
              <w:rPr>
                <w:rFonts w:cs="Times New Roman" w:asciiTheme="minorEastAsia" w:hAnsiTheme="minorEastAsia" w:eastAsiaTheme="minorEastAsia"/>
                <w:kern w:val="2"/>
                <w:sz w:val="21"/>
                <w:lang w:val="en-US" w:eastAsia="zh-CN" w:bidi="ar-SA"/>
              </w:rPr>
            </w:pPr>
          </w:p>
        </w:tc>
        <w:tc>
          <w:tcPr>
            <w:tcW w:w="12258" w:type="dxa"/>
            <w:vAlign w:val="center"/>
          </w:tcPr>
          <w:p>
            <w:pPr>
              <w:spacing w:line="280" w:lineRule="exact"/>
              <w:rPr>
                <w:rFonts w:cs="Times New Roman"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 w:val="21"/>
                <w:szCs w:val="21"/>
              </w:rPr>
              <w:t>公司管理体系自运行以来，未发生质量事故</w:t>
            </w:r>
          </w:p>
        </w:tc>
        <w:tc>
          <w:tcPr>
            <w:tcW w:w="730" w:type="dxa"/>
            <w:vAlign w:val="top"/>
          </w:tcPr>
          <w:p>
            <w:pPr>
              <w:rPr>
                <w:rFonts w:ascii="Times New Roman" w:hAnsi="Times New Roman" w:eastAsia="宋体" w:cs="Times New Roman"/>
                <w:kern w:val="2"/>
                <w:sz w:val="21"/>
                <w:lang w:val="en-US" w:eastAsia="zh-CN" w:bidi="ar-SA"/>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189" w:type="dxa"/>
            <w:vAlign w:val="top"/>
          </w:tcPr>
          <w:p>
            <w:pPr>
              <w:spacing w:line="280" w:lineRule="exact"/>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rPr>
              <w:t>顾客满意、相关方投诉处理</w:t>
            </w:r>
          </w:p>
        </w:tc>
        <w:tc>
          <w:tcPr>
            <w:tcW w:w="717" w:type="dxa"/>
            <w:vAlign w:val="top"/>
          </w:tcPr>
          <w:p>
            <w:pPr>
              <w:spacing w:line="280" w:lineRule="exact"/>
              <w:rPr>
                <w:rFonts w:hint="eastAsia" w:cs="宋体" w:asciiTheme="minorEastAsia" w:hAnsiTheme="minorEastAsia" w:eastAsiaTheme="minorEastAsia"/>
                <w:sz w:val="21"/>
                <w:szCs w:val="21"/>
                <w:lang w:val="en-US" w:eastAsia="zh-CN"/>
              </w:rPr>
            </w:pPr>
          </w:p>
        </w:tc>
        <w:tc>
          <w:tcPr>
            <w:tcW w:w="12258" w:type="dxa"/>
            <w:vAlign w:val="center"/>
          </w:tcPr>
          <w:p>
            <w:pPr>
              <w:spacing w:line="280" w:lineRule="exact"/>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近年来</w:t>
            </w:r>
            <w:r>
              <w:rPr>
                <w:rFonts w:hint="eastAsia" w:cs="宋体" w:asciiTheme="minorEastAsia" w:hAnsiTheme="minorEastAsia" w:eastAsiaTheme="minorEastAsia"/>
                <w:sz w:val="21"/>
                <w:szCs w:val="21"/>
              </w:rPr>
              <w:t>未发生顾客及相关方投诉情况，日常顾客反馈意见或建议已及时处理</w:t>
            </w:r>
          </w:p>
        </w:tc>
        <w:tc>
          <w:tcPr>
            <w:tcW w:w="730" w:type="dxa"/>
            <w:vAlign w:val="top"/>
          </w:tcPr>
          <w:p>
            <w:pPr>
              <w:spacing w:line="280" w:lineRule="exact"/>
              <w:rPr>
                <w:rFonts w:hint="eastAsia" w:cs="宋体" w:asciiTheme="minorEastAsia" w:hAnsiTheme="minorEastAsia" w:eastAsiaTheme="minorEastAsia"/>
                <w:sz w:val="21"/>
                <w:szCs w:val="21"/>
                <w:lang w:val="en-US" w:eastAsia="zh-CN"/>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189" w:type="dxa"/>
            <w:vAlign w:val="top"/>
          </w:tcPr>
          <w:p>
            <w:pPr>
              <w:spacing w:line="280" w:lineRule="exact"/>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rPr>
              <w:t>国家/地方抽查情况</w:t>
            </w:r>
          </w:p>
        </w:tc>
        <w:tc>
          <w:tcPr>
            <w:tcW w:w="717" w:type="dxa"/>
            <w:vAlign w:val="top"/>
          </w:tcPr>
          <w:p>
            <w:pPr>
              <w:spacing w:line="280" w:lineRule="exact"/>
              <w:rPr>
                <w:rFonts w:hint="eastAsia" w:cs="宋体" w:asciiTheme="minorEastAsia" w:hAnsiTheme="minorEastAsia" w:eastAsiaTheme="minorEastAsia"/>
                <w:sz w:val="21"/>
                <w:szCs w:val="21"/>
                <w:lang w:val="en-US" w:eastAsia="zh-CN"/>
              </w:rPr>
            </w:pPr>
          </w:p>
        </w:tc>
        <w:tc>
          <w:tcPr>
            <w:tcW w:w="12258" w:type="dxa"/>
            <w:vAlign w:val="center"/>
          </w:tcPr>
          <w:p>
            <w:pPr>
              <w:spacing w:line="280" w:lineRule="exact"/>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rPr>
              <w:t>上级主管部门对公司的在质量监督抽查，没有提出书面问题</w:t>
            </w:r>
          </w:p>
        </w:tc>
        <w:tc>
          <w:tcPr>
            <w:tcW w:w="730" w:type="dxa"/>
            <w:vAlign w:val="top"/>
          </w:tcPr>
          <w:p>
            <w:pPr>
              <w:spacing w:line="280" w:lineRule="exact"/>
              <w:rPr>
                <w:rFonts w:hint="eastAsia" w:cs="宋体" w:asciiTheme="minorEastAsia" w:hAnsiTheme="minorEastAsia" w:eastAsiaTheme="minorEastAsia"/>
                <w:sz w:val="21"/>
                <w:szCs w:val="21"/>
                <w:lang w:val="en-US" w:eastAsia="zh-CN"/>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189" w:type="dxa"/>
            <w:vAlign w:val="top"/>
          </w:tcPr>
          <w:p>
            <w:pPr>
              <w:spacing w:line="280" w:lineRule="exact"/>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标准、规范执行、</w:t>
            </w:r>
            <w:r>
              <w:rPr>
                <w:rFonts w:hint="eastAsia" w:cs="宋体" w:asciiTheme="minorEastAsia" w:hAnsiTheme="minorEastAsia" w:eastAsiaTheme="minorEastAsia"/>
                <w:sz w:val="21"/>
                <w:szCs w:val="21"/>
              </w:rPr>
              <w:t>遵纪守法情况</w:t>
            </w:r>
          </w:p>
        </w:tc>
        <w:tc>
          <w:tcPr>
            <w:tcW w:w="717" w:type="dxa"/>
            <w:vAlign w:val="top"/>
          </w:tcPr>
          <w:p>
            <w:pPr>
              <w:spacing w:line="280" w:lineRule="exact"/>
              <w:rPr>
                <w:rFonts w:hint="eastAsia" w:cs="宋体" w:asciiTheme="minorEastAsia" w:hAnsiTheme="minorEastAsia" w:eastAsiaTheme="minorEastAsia"/>
                <w:sz w:val="21"/>
                <w:szCs w:val="21"/>
                <w:lang w:val="en-US" w:eastAsia="zh-CN"/>
              </w:rPr>
            </w:pPr>
          </w:p>
        </w:tc>
        <w:tc>
          <w:tcPr>
            <w:tcW w:w="12258" w:type="dxa"/>
            <w:vAlign w:val="center"/>
          </w:tcPr>
          <w:p>
            <w:pPr>
              <w:spacing w:line="280" w:lineRule="exact"/>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rPr>
              <w:t>目前公司经营过程中没有发生违反相关法律法规及其他要求的情况</w:t>
            </w:r>
          </w:p>
        </w:tc>
        <w:tc>
          <w:tcPr>
            <w:tcW w:w="730" w:type="dxa"/>
            <w:vAlign w:val="top"/>
          </w:tcPr>
          <w:p>
            <w:pPr>
              <w:spacing w:line="280" w:lineRule="exact"/>
              <w:rPr>
                <w:rFonts w:hint="eastAsia" w:cs="宋体" w:asciiTheme="minorEastAsia" w:hAnsiTheme="minorEastAsia" w:eastAsiaTheme="minorEastAsia"/>
                <w:sz w:val="21"/>
                <w:szCs w:val="21"/>
                <w:lang w:val="en-US" w:eastAsia="zh-CN"/>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189" w:type="dxa"/>
            <w:vAlign w:val="top"/>
          </w:tcPr>
          <w:p>
            <w:pPr>
              <w:spacing w:line="280" w:lineRule="exact"/>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一阶</w:t>
            </w:r>
            <w:r>
              <w:rPr>
                <w:rFonts w:hint="eastAsia" w:cs="宋体" w:asciiTheme="minorEastAsia" w:hAnsiTheme="minorEastAsia" w:eastAsiaTheme="minorEastAsia"/>
                <w:sz w:val="21"/>
                <w:szCs w:val="21"/>
              </w:rPr>
              <w:t>问题的验证</w:t>
            </w:r>
          </w:p>
        </w:tc>
        <w:tc>
          <w:tcPr>
            <w:tcW w:w="717" w:type="dxa"/>
            <w:vAlign w:val="top"/>
          </w:tcPr>
          <w:p>
            <w:pPr>
              <w:spacing w:line="280" w:lineRule="exact"/>
              <w:rPr>
                <w:rFonts w:hint="eastAsia" w:cs="宋体" w:asciiTheme="minorEastAsia" w:hAnsiTheme="minorEastAsia" w:eastAsiaTheme="minorEastAsia"/>
                <w:sz w:val="21"/>
                <w:szCs w:val="21"/>
                <w:lang w:val="en-US" w:eastAsia="zh-CN"/>
              </w:rPr>
            </w:pPr>
          </w:p>
        </w:tc>
        <w:tc>
          <w:tcPr>
            <w:tcW w:w="12258" w:type="dxa"/>
            <w:vAlign w:val="center"/>
          </w:tcPr>
          <w:p>
            <w:pPr>
              <w:spacing w:line="280" w:lineRule="exact"/>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有效整改，关闭</w:t>
            </w:r>
          </w:p>
        </w:tc>
        <w:tc>
          <w:tcPr>
            <w:tcW w:w="730" w:type="dxa"/>
            <w:vAlign w:val="top"/>
          </w:tcPr>
          <w:p>
            <w:pPr>
              <w:spacing w:line="280" w:lineRule="exact"/>
              <w:rPr>
                <w:rFonts w:hint="eastAsia" w:cs="宋体" w:asciiTheme="minorEastAsia" w:hAnsiTheme="minorEastAsia" w:eastAsiaTheme="minorEastAsia"/>
                <w:sz w:val="21"/>
                <w:szCs w:val="21"/>
                <w:lang w:val="en-US" w:eastAsia="zh-CN"/>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189" w:type="dxa"/>
            <w:vAlign w:val="top"/>
          </w:tcPr>
          <w:p>
            <w:pPr>
              <w:spacing w:line="280" w:lineRule="exact"/>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rPr>
              <w:t>变更</w:t>
            </w:r>
          </w:p>
        </w:tc>
        <w:tc>
          <w:tcPr>
            <w:tcW w:w="717" w:type="dxa"/>
            <w:vAlign w:val="top"/>
          </w:tcPr>
          <w:p>
            <w:pPr>
              <w:spacing w:line="280" w:lineRule="exact"/>
              <w:rPr>
                <w:rFonts w:hint="eastAsia" w:cs="宋体" w:asciiTheme="minorEastAsia" w:hAnsiTheme="minorEastAsia" w:eastAsiaTheme="minorEastAsia"/>
                <w:sz w:val="21"/>
                <w:szCs w:val="21"/>
                <w:lang w:val="en-US" w:eastAsia="zh-CN"/>
              </w:rPr>
            </w:pPr>
          </w:p>
        </w:tc>
        <w:tc>
          <w:tcPr>
            <w:tcW w:w="12258" w:type="dxa"/>
            <w:vAlign w:val="center"/>
          </w:tcPr>
          <w:p>
            <w:pPr>
              <w:spacing w:line="280" w:lineRule="exact"/>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rPr>
              <w:t>无</w:t>
            </w:r>
            <w:r>
              <w:rPr>
                <w:rFonts w:hint="eastAsia" w:cs="宋体" w:asciiTheme="minorEastAsia" w:hAnsiTheme="minorEastAsia" w:eastAsiaTheme="minorEastAsia"/>
                <w:sz w:val="21"/>
                <w:szCs w:val="21"/>
                <w:lang w:val="en-US" w:eastAsia="zh-CN"/>
              </w:rPr>
              <w:t>重大变更</w:t>
            </w:r>
          </w:p>
        </w:tc>
        <w:tc>
          <w:tcPr>
            <w:tcW w:w="730" w:type="dxa"/>
            <w:vAlign w:val="top"/>
          </w:tcPr>
          <w:p>
            <w:pPr>
              <w:spacing w:line="280" w:lineRule="exact"/>
              <w:rPr>
                <w:rFonts w:hint="eastAsia" w:cs="宋体" w:asciiTheme="minorEastAsia" w:hAnsiTheme="minorEastAsia" w:eastAsiaTheme="minorEastAsia"/>
                <w:sz w:val="21"/>
                <w:szCs w:val="21"/>
                <w:lang w:val="en-US" w:eastAsia="zh-CN"/>
              </w:rPr>
            </w:pPr>
            <w:r>
              <w:rPr>
                <w:rFonts w:hint="eastAsia"/>
                <w:lang w:val="en-US" w:eastAsia="zh-CN"/>
              </w:rPr>
              <w:t>OK</w:t>
            </w:r>
          </w:p>
        </w:tc>
      </w:tr>
    </w:tbl>
    <w:p>
      <w:pPr>
        <w:spacing w:line="280" w:lineRule="exact"/>
      </w:pPr>
      <w:r>
        <w:rPr>
          <w:rFonts w:hint="eastAsia" w:cs="宋体" w:asciiTheme="minorEastAsia" w:hAnsiTheme="minorEastAsia" w:eastAsiaTheme="minorEastAsia"/>
          <w:sz w:val="21"/>
          <w:szCs w:val="21"/>
        </w:rPr>
        <w:tab/>
      </w:r>
    </w:p>
    <w:p>
      <w:pPr>
        <w:pStyle w:val="5"/>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ind w:firstLine="756" w:firstLineChars="400"/>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141BBB"/>
    <w:multiLevelType w:val="multilevel"/>
    <w:tmpl w:val="2D141BBB"/>
    <w:lvl w:ilvl="0" w:tentative="0">
      <w:start w:val="1"/>
      <w:numFmt w:val="decimal"/>
      <w:lvlText w:val="%1)"/>
      <w:lvlJc w:val="left"/>
      <w:pPr>
        <w:ind w:left="840" w:hanging="420"/>
      </w:pPr>
      <w:rPr>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6D9E098D"/>
    <w:multiLevelType w:val="multilevel"/>
    <w:tmpl w:val="6D9E098D"/>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00A5775F"/>
    <w:rsid w:val="048B1024"/>
    <w:rsid w:val="05250BF7"/>
    <w:rsid w:val="05475291"/>
    <w:rsid w:val="05791EDF"/>
    <w:rsid w:val="05A351AD"/>
    <w:rsid w:val="069B7C33"/>
    <w:rsid w:val="06D33A7D"/>
    <w:rsid w:val="077E5935"/>
    <w:rsid w:val="082718CB"/>
    <w:rsid w:val="08330E16"/>
    <w:rsid w:val="09142AF4"/>
    <w:rsid w:val="0C745BF1"/>
    <w:rsid w:val="0E8151E4"/>
    <w:rsid w:val="0F8B5AE1"/>
    <w:rsid w:val="101301FF"/>
    <w:rsid w:val="108E33A2"/>
    <w:rsid w:val="10C710AC"/>
    <w:rsid w:val="13D02E0F"/>
    <w:rsid w:val="143A105E"/>
    <w:rsid w:val="1445219E"/>
    <w:rsid w:val="146E5DA4"/>
    <w:rsid w:val="1580171C"/>
    <w:rsid w:val="161D025B"/>
    <w:rsid w:val="167636E8"/>
    <w:rsid w:val="16774218"/>
    <w:rsid w:val="16BB4719"/>
    <w:rsid w:val="17485BB5"/>
    <w:rsid w:val="17885FB1"/>
    <w:rsid w:val="19755D03"/>
    <w:rsid w:val="19CC0183"/>
    <w:rsid w:val="1A6C3EF9"/>
    <w:rsid w:val="1AD96F61"/>
    <w:rsid w:val="1BAD248A"/>
    <w:rsid w:val="1C5D5E58"/>
    <w:rsid w:val="1CB7031C"/>
    <w:rsid w:val="1E9D0E21"/>
    <w:rsid w:val="1F5849BC"/>
    <w:rsid w:val="23DE58D7"/>
    <w:rsid w:val="246D443A"/>
    <w:rsid w:val="26B2555E"/>
    <w:rsid w:val="29677800"/>
    <w:rsid w:val="2AE00186"/>
    <w:rsid w:val="2B1E6118"/>
    <w:rsid w:val="2BC662B2"/>
    <w:rsid w:val="2BFA0DD4"/>
    <w:rsid w:val="2D1E2706"/>
    <w:rsid w:val="30E81B43"/>
    <w:rsid w:val="32D473C7"/>
    <w:rsid w:val="331A6C63"/>
    <w:rsid w:val="34406FDB"/>
    <w:rsid w:val="364477FF"/>
    <w:rsid w:val="368C11C2"/>
    <w:rsid w:val="36DA1F2E"/>
    <w:rsid w:val="38570F6F"/>
    <w:rsid w:val="3C730EBD"/>
    <w:rsid w:val="3F36451D"/>
    <w:rsid w:val="3F7B1DD4"/>
    <w:rsid w:val="409219B3"/>
    <w:rsid w:val="423D15C3"/>
    <w:rsid w:val="43264FCA"/>
    <w:rsid w:val="434B5F61"/>
    <w:rsid w:val="436E40ED"/>
    <w:rsid w:val="46F76332"/>
    <w:rsid w:val="473D38CE"/>
    <w:rsid w:val="47E318F1"/>
    <w:rsid w:val="4B3C5AE6"/>
    <w:rsid w:val="4B60700A"/>
    <w:rsid w:val="4B8464B4"/>
    <w:rsid w:val="4C1E675A"/>
    <w:rsid w:val="4CF55534"/>
    <w:rsid w:val="4CFA05DE"/>
    <w:rsid w:val="4DFE795D"/>
    <w:rsid w:val="4EC37C33"/>
    <w:rsid w:val="4F744081"/>
    <w:rsid w:val="50667490"/>
    <w:rsid w:val="51BB7CE4"/>
    <w:rsid w:val="539C0574"/>
    <w:rsid w:val="56075D18"/>
    <w:rsid w:val="58773F3E"/>
    <w:rsid w:val="5B8212E7"/>
    <w:rsid w:val="5C28689D"/>
    <w:rsid w:val="5D543F38"/>
    <w:rsid w:val="5DE74B8C"/>
    <w:rsid w:val="62196B81"/>
    <w:rsid w:val="62A50532"/>
    <w:rsid w:val="63827325"/>
    <w:rsid w:val="654E2B61"/>
    <w:rsid w:val="660312F7"/>
    <w:rsid w:val="663F4FB1"/>
    <w:rsid w:val="675F2410"/>
    <w:rsid w:val="694B2D27"/>
    <w:rsid w:val="69543EA8"/>
    <w:rsid w:val="69645F05"/>
    <w:rsid w:val="6CA67BE1"/>
    <w:rsid w:val="6F766BB9"/>
    <w:rsid w:val="72463203"/>
    <w:rsid w:val="744C0467"/>
    <w:rsid w:val="77364257"/>
    <w:rsid w:val="789C6099"/>
    <w:rsid w:val="7AEA338E"/>
    <w:rsid w:val="7E4D31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rPr>
      <w:sz w:val="28"/>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0">
    <w:name w:val="页眉 Char"/>
    <w:basedOn w:val="9"/>
    <w:link w:val="6"/>
    <w:qFormat/>
    <w:uiPriority w:val="99"/>
    <w:rPr>
      <w:rFonts w:ascii="Times New Roman" w:hAnsi="Times New Roman" w:eastAsia="宋体" w:cs="Times New Roman"/>
      <w:sz w:val="18"/>
      <w:szCs w:val="18"/>
    </w:rPr>
  </w:style>
  <w:style w:type="character" w:customStyle="1" w:styleId="11">
    <w:name w:val="页脚 Char"/>
    <w:basedOn w:val="9"/>
    <w:link w:val="5"/>
    <w:qFormat/>
    <w:uiPriority w:val="99"/>
    <w:rPr>
      <w:rFonts w:ascii="Times New Roman" w:hAnsi="Times New Roman" w:eastAsia="宋体" w:cs="Times New Roman"/>
      <w:sz w:val="18"/>
      <w:szCs w:val="18"/>
    </w:rPr>
  </w:style>
  <w:style w:type="character" w:customStyle="1" w:styleId="12">
    <w:name w:val="批注框文本 Char"/>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TotalTime>
  <ScaleCrop>false</ScaleCrop>
  <LinksUpToDate>false</LinksUpToDate>
  <CharactersWithSpaces>101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付正</cp:lastModifiedBy>
  <dcterms:modified xsi:type="dcterms:W3CDTF">2022-03-07T07:58:18Z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2052-11.1.0.11365</vt:lpwstr>
  </property>
</Properties>
</file>