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855"/>
        <w:gridCol w:w="667"/>
        <w:gridCol w:w="3067"/>
        <w:gridCol w:w="1338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70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重庆潍鑫实业有限公司</w:t>
            </w:r>
            <w:bookmarkEnd w:id="2"/>
          </w:p>
        </w:tc>
        <w:tc>
          <w:tcPr>
            <w:tcW w:w="133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17.06.01,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17.07.02,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29.02.00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周川琳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06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3" w:name="审核范围"/>
            <w:r>
              <w:rPr>
                <w:rFonts w:hint="eastAsia"/>
                <w:sz w:val="21"/>
                <w:szCs w:val="21"/>
              </w:rPr>
              <w:t>野营房 、石油机械(常压储罐)、钢结构件房架的制造；资质范围内汽车维修；</w:t>
            </w:r>
            <w:bookmarkEnd w:id="3"/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冉景洲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</w:rPr>
              <w:t>野营房、石油机械(常压储罐)、钢结构件房的制造流程：材料进场→下料→焊接组装→喷漆→安装设备→验收。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资质范围内汽车维修流程：</w:t>
            </w:r>
            <w:bookmarkStart w:id="4" w:name="_GoBack"/>
            <w:bookmarkEnd w:id="4"/>
            <w:r>
              <w:rPr>
                <w:rFonts w:hint="eastAsia"/>
                <w:sz w:val="21"/>
                <w:szCs w:val="21"/>
              </w:rPr>
              <w:t>业务接待→检验记录→确定维修项目→签订维修合同→派工→维修→验收→结算→交付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主要质量要求：外观、尺寸、维修后性能满足要求等。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关键过程：焊接、组装、维修过程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风险：外观、尺寸达不到技术要求；性能不能满足客户要求。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需确认/特殊过程：焊接、喷漆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控制方法：拟定作业规范文件和过程监控记录等进行控制。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华人民共和国合同法、中华人民共和国劳动法、中华人民共和国安全消防法、中华人民共和国劳动合同法、中华人民共和国产品质量法、中华人民共和国安全生产法、Q/67579579-6.313-2013《油气田施工作业用野营房》、SY/T4069-93《石油建设工程质量检验评定标准和油田钢制容器制作标准》、JGJ81《筑钢结构焊接规范》；客户要求及技术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检验和试验项目及要求：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1、野营房 、石油机械(常压储罐)、钢结构件房架的制造：外观、电气、线路、尺寸、密封等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2、资质范围内汽车维修：外观、性能检测（转向最大自由量、轴制动率、初速度、前照灯性能、排气等）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37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197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37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71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9842F42"/>
    <w:rsid w:val="763B2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locked/>
    <w:uiPriority w:val="20"/>
    <w:rPr>
      <w:i/>
      <w:iCs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2022-01-15T05:04:39Z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2052-11.1.0.11194</vt:lpwstr>
  </property>
</Properties>
</file>