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河北厚勤餐饮管理服务有限公司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张淑仙、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张明月、赵毅、李卫力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李丽英 周文廷 杨园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de-DE" w:eastAsia="zh-CN"/>
              </w:rPr>
              <w:t>曹天鹏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2022年01月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color w:val="000000"/>
              </w:rPr>
              <w:t>日 上午至2022年01月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color w:val="000000"/>
              </w:rPr>
              <w:t>日 上午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u w:val="single"/>
                <w:shd w:val="clear" w:fill="FFFFFF"/>
              </w:rPr>
              <w:t>91130108MA080Y525X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2016年12月07日至2036年12月06日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餐饮服务，餐饮管理，企业管理咨询、市场营销策划；企业形象策划；经济贸易信息咨询（金融、证券、期货、教育、投资咨询除外）；展览展示服务；会议服务；礼仪庆典服务；物业管理服务；代收水费、电费、采暖费；保洁服务；停车场服务；仓储服务（危险品除外）；普通货运，预包装食品、散装食品、厨房设备、清洁用品、环保设备销售。（依法须经批准的项目，经相关部门批准后方可开展经营活动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1" w:name="审核范围"/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Q：餐饮服务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E：餐饮服务所涉及场所的相关环境管理活动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O：</w:t>
            </w:r>
            <w:bookmarkEnd w:id="1"/>
            <w:r>
              <w:rPr>
                <w:rFonts w:hint="eastAsia"/>
                <w:color w:val="000000"/>
                <w:szCs w:val="21"/>
                <w:lang w:eastAsia="zh-CN"/>
              </w:rPr>
              <w:t>餐饮服务所涉及场所的相关职业健康安全管理活动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食品经营许可证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许可证</w:t>
            </w: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eastAsia="zh-CN"/>
              </w:rPr>
              <w:t>Y21301500000483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签发日期：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2021年9月10日，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有效期限至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2026年09月09日；</w:t>
            </w: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主体业态：餐饮服务经营者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经营项目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热食类食品制售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石家庄高新区珠峰大街288号石家庄学院食堂一楼101室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eastAsia="zh-CN"/>
              </w:rPr>
              <w:t>食品经营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石家庄高新区珠峰大街288号石家庄学院食堂一楼101室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pStyle w:val="3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餐饮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服务：</w:t>
            </w:r>
          </w:p>
          <w:p>
            <w:pPr>
              <w:pStyle w:val="3"/>
              <w:spacing w:line="360" w:lineRule="auto"/>
              <w:rPr>
                <w:color w:val="00000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确定采购单—采购—验收入库—领用—饭菜加工—留样—提供就餐环境—清洗与保洁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4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 xml:space="preserve">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FF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</w:t>
            </w:r>
            <w:r>
              <w:rPr>
                <w:rFonts w:hint="eastAsia"/>
                <w:color w:val="FF0000"/>
                <w:szCs w:val="18"/>
              </w:rPr>
              <w:t>（外包过程）：</w:t>
            </w:r>
            <w:r>
              <w:rPr>
                <w:rFonts w:hint="eastAsia"/>
                <w:color w:val="FF0000"/>
                <w:szCs w:val="18"/>
                <w:lang w:eastAsia="zh-CN"/>
              </w:rPr>
              <w:t>馒头、生面条的制作</w:t>
            </w:r>
          </w:p>
          <w:p>
            <w:pPr>
              <w:pStyle w:val="2"/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tabs>
                <w:tab w:val="left" w:pos="3332"/>
              </w:tabs>
              <w:spacing w:line="440" w:lineRule="exact"/>
            </w:pPr>
            <w:r>
              <w:rPr>
                <w:rFonts w:hint="eastAsia"/>
                <w:lang w:eastAsia="zh-CN"/>
              </w:rPr>
              <w:t>真诚服务、客户满意；保护环境、节能降耗；以人为本、保障安全！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文件发放□标语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展板□网站□员工手册□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9"/>
              <w:gridCol w:w="3899"/>
              <w:gridCol w:w="38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  <w:jc w:val="center"/>
              </w:trPr>
              <w:tc>
                <w:tcPr>
                  <w:tcW w:w="5208" w:type="dxa"/>
                  <w:gridSpan w:val="2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jc w:val="center"/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highlight w:val="none"/>
                    </w:rPr>
                    <w:t>质量环境目标</w:t>
                  </w:r>
                </w:p>
              </w:tc>
              <w:tc>
                <w:tcPr>
                  <w:tcW w:w="3871" w:type="dxa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jc w:val="center"/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highlight w:val="none"/>
                    </w:rPr>
                    <w:t>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  <w:jc w:val="center"/>
              </w:trPr>
              <w:tc>
                <w:tcPr>
                  <w:tcW w:w="1309" w:type="dxa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400" w:lineRule="exact"/>
                    <w:jc w:val="center"/>
                    <w:rPr>
                      <w:rFonts w:hint="eastAsia" w:ascii="宋体" w:hAnsi="宋体" w:cs="宋体"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sz w:val="21"/>
                      <w:szCs w:val="21"/>
                      <w:highlight w:val="none"/>
                    </w:rPr>
                    <w:t>质量目标</w:t>
                  </w:r>
                </w:p>
              </w:tc>
              <w:tc>
                <w:tcPr>
                  <w:tcW w:w="3899" w:type="dxa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客户满意率达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eastAsia="zh-CN"/>
                    </w:rPr>
                    <w:t>到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%</w:t>
                  </w:r>
                </w:p>
              </w:tc>
              <w:tc>
                <w:tcPr>
                  <w:tcW w:w="3871" w:type="dxa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400" w:lineRule="exact"/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5" w:hRule="atLeast"/>
                <w:jc w:val="center"/>
              </w:trPr>
              <w:tc>
                <w:tcPr>
                  <w:tcW w:w="1309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400" w:lineRule="exact"/>
                    <w:jc w:val="center"/>
                    <w:rPr>
                      <w:rFonts w:hint="eastAsia" w:ascii="宋体" w:hAnsi="宋体" w:cs="宋体"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sz w:val="21"/>
                      <w:szCs w:val="21"/>
                      <w:highlight w:val="none"/>
                    </w:rPr>
                    <w:t>环境目标、指标</w:t>
                  </w:r>
                </w:p>
              </w:tc>
              <w:tc>
                <w:tcPr>
                  <w:tcW w:w="3899" w:type="dxa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</w:rPr>
                    <w:t>排污达标（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生活垃圾及时清运，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</w:rPr>
                    <w:t>统一处理、减少对环境的影响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餐厨垃圾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</w:rPr>
                    <w:t>统一收集、统一处理；可回收废弃物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分类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</w:rPr>
                    <w:t>处理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。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3871" w:type="dxa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  <w:lang w:eastAsia="zh-CN"/>
                    </w:rPr>
                    <w:t>生活垃圾及时清运率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highlight w:val="none"/>
                    </w:rPr>
                    <w:t>100%，统一处理率达100%。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  <w:jc w:val="center"/>
              </w:trPr>
              <w:tc>
                <w:tcPr>
                  <w:tcW w:w="1309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400" w:lineRule="exact"/>
                    <w:jc w:val="center"/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899" w:type="dxa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火灾发生率为零</w:t>
                  </w:r>
                </w:p>
              </w:tc>
              <w:tc>
                <w:tcPr>
                  <w:tcW w:w="387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火灾发生率为0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8" w:hRule="atLeast"/>
                <w:jc w:val="center"/>
              </w:trPr>
              <w:tc>
                <w:tcPr>
                  <w:tcW w:w="1309" w:type="dxa"/>
                  <w:vMerge w:val="restart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400" w:lineRule="exact"/>
                    <w:rPr>
                      <w:rFonts w:hint="eastAsia" w:ascii="宋体" w:hAnsi="宋体" w:cs="宋体"/>
                      <w:b/>
                      <w:bCs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职业健康安全</w:t>
                  </w:r>
                  <w:r>
                    <w:rPr>
                      <w:rFonts w:hint="eastAsia" w:ascii="宋体" w:hAnsi="宋体" w:cs="宋体"/>
                      <w:bCs/>
                      <w:sz w:val="21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3899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杜绝重大人身、设备及责任事件；</w:t>
                  </w:r>
                </w:p>
              </w:tc>
              <w:tc>
                <w:tcPr>
                  <w:tcW w:w="387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重大工伤事故为0。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  <w:jc w:val="center"/>
              </w:trPr>
              <w:tc>
                <w:tcPr>
                  <w:tcW w:w="1309" w:type="dxa"/>
                  <w:vMerge w:val="continue"/>
                  <w:noWrap w:val="0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899" w:type="dxa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</w:rPr>
                    <w:t>火灾发生率为零。</w:t>
                  </w:r>
                </w:p>
              </w:tc>
              <w:tc>
                <w:tcPr>
                  <w:tcW w:w="387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  <w:t>火灾事故为0。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79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18-19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29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无不适用条款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FF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质量关键过程（工序）：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烹制过程；</w:t>
            </w:r>
            <w:r>
              <w:rPr>
                <w:rFonts w:hint="eastAsia" w:ascii="Times New Roman" w:hAnsi="Times New Roman" w:cs="Times New Roman"/>
                <w:color w:val="000000"/>
              </w:rPr>
              <w:t>相关控制参数名称：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配料表、温度、人员能力</w:t>
            </w:r>
            <w:r>
              <w:rPr>
                <w:rFonts w:hint="eastAsia" w:ascii="Times New Roman" w:hAnsi="Times New Roman" w:cs="Times New Roman"/>
                <w:color w:val="auto"/>
              </w:rPr>
              <w:t>；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需要确认的过程（工序）：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烹制过程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留样箱、餐食回收车、四层货架、三层货架、地架、花格货架、花格货架、六门冰柜、四门冰柜、双炒灶、单眼炒灶、玻璃门消毒柜、煮面炉、四门冰柜、高压低噪音排烟风柜、低空排放油烟净化器、油烟净化机组、清真档口强力排烟机、清真档口油烟净化器、冷库冷藏间货架、冷库冷冻货架、食品添加剂柜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台秤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不涉及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2021年11月16日进行了火灾事故应急演练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石家庄学院内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民用天然气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民用天然气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由石家庄学院负责安排验收、检查和维保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2021年9</w:t>
            </w:r>
            <w:bookmarkStart w:id="2" w:name="_GoBack"/>
            <w:bookmarkEnd w:id="2"/>
            <w:r>
              <w:rPr>
                <w:rFonts w:hint="eastAsia"/>
                <w:color w:val="000000"/>
                <w:lang w:val="en-US" w:eastAsia="zh-CN"/>
              </w:rPr>
              <w:t>月15日进行了触电事故应急演练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eastAsia="zh-CN"/>
              </w:rPr>
              <w:t>科技园区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其他--石家庄学院内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民用天然气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消防卷帘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115E2E"/>
    <w:rsid w:val="015C6786"/>
    <w:rsid w:val="01AF0969"/>
    <w:rsid w:val="024A0BB7"/>
    <w:rsid w:val="07F12200"/>
    <w:rsid w:val="0C670CE3"/>
    <w:rsid w:val="0F5B4A89"/>
    <w:rsid w:val="14261A0B"/>
    <w:rsid w:val="160E1B5C"/>
    <w:rsid w:val="185B064A"/>
    <w:rsid w:val="1E334EC9"/>
    <w:rsid w:val="1E6750EC"/>
    <w:rsid w:val="21863561"/>
    <w:rsid w:val="26EE12D9"/>
    <w:rsid w:val="28092D2B"/>
    <w:rsid w:val="28F553A6"/>
    <w:rsid w:val="290D27BA"/>
    <w:rsid w:val="2AC31382"/>
    <w:rsid w:val="2EE644C2"/>
    <w:rsid w:val="2F5702EB"/>
    <w:rsid w:val="30A47041"/>
    <w:rsid w:val="31350993"/>
    <w:rsid w:val="3344327C"/>
    <w:rsid w:val="350E4E50"/>
    <w:rsid w:val="362B16E0"/>
    <w:rsid w:val="3781497F"/>
    <w:rsid w:val="3C740F54"/>
    <w:rsid w:val="47963B1F"/>
    <w:rsid w:val="4BA250EF"/>
    <w:rsid w:val="4CCF20E6"/>
    <w:rsid w:val="4D513FA5"/>
    <w:rsid w:val="53781637"/>
    <w:rsid w:val="58BA453C"/>
    <w:rsid w:val="5F2C615B"/>
    <w:rsid w:val="5F3E6C4E"/>
    <w:rsid w:val="5FCA0871"/>
    <w:rsid w:val="606918BD"/>
    <w:rsid w:val="60B35228"/>
    <w:rsid w:val="610338C8"/>
    <w:rsid w:val="62DE4DC9"/>
    <w:rsid w:val="66BE0674"/>
    <w:rsid w:val="67112E9A"/>
    <w:rsid w:val="687F015B"/>
    <w:rsid w:val="6CE73253"/>
    <w:rsid w:val="6E1D3ED3"/>
    <w:rsid w:val="731004AA"/>
    <w:rsid w:val="78CA4C57"/>
    <w:rsid w:val="7A2A5562"/>
    <w:rsid w:val="7B0E0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2022-01-21T08:40:29Z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