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河北厚勤餐饮管理服务有限公司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曹天鹏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吉洁、周文廷、李丽英、杨园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确定采购单—采购—验收入库—领用—饭菜加工—留样—提供就餐环境—清洗与保洁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烹制过程，材料配比、温度、时间。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食品安全法、食品安全国家标准 食品生产通用卫生规范、食品添加剂使用标准、食品接触材料及制品通用安全要求、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"http://std.samr.gov.cn/db/search/stdDBDetailed?id=91D99E4D56EC2E24E05397BE0A0A3A10" \t "http://std.samr.gov.cn/search/_blank"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  <w:t>DB13/T 2434-2016  高等学校学生食堂服务规范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色泽、味道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133350</wp:posOffset>
                  </wp:positionV>
                  <wp:extent cx="679450" cy="463550"/>
                  <wp:effectExtent l="0" t="0" r="635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107315</wp:posOffset>
                  </wp:positionV>
                  <wp:extent cx="986155" cy="47498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河北厚勤餐饮管理服务有限公司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周文廷、李丽英、杨园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确定采购单—采购—验收入库—领用—饭菜加工—留样—提供就餐环境—清洗与保洁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火灾、固废排放、能源消耗，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制定管理方案，编制运行控制程序、消防控制程序、应急准备和响应控制程序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《中华人民共和国环境保护法》、《</w:t>
            </w:r>
            <w:r>
              <w:rPr>
                <w:rFonts w:hint="eastAsia"/>
                <w:sz w:val="20"/>
                <w:lang w:val="en-US" w:eastAsia="zh-CN"/>
              </w:rPr>
              <w:t>空气质量标准</w:t>
            </w:r>
            <w:r>
              <w:rPr>
                <w:rFonts w:hint="eastAsia"/>
                <w:sz w:val="20"/>
                <w:lang w:eastAsia="zh-CN"/>
              </w:rPr>
              <w:t>》、《中华人民共和国</w:t>
            </w:r>
            <w:r>
              <w:rPr>
                <w:rFonts w:hint="eastAsia"/>
                <w:sz w:val="20"/>
                <w:lang w:val="en-US" w:eastAsia="zh-CN"/>
              </w:rPr>
              <w:t>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118110</wp:posOffset>
                  </wp:positionV>
                  <wp:extent cx="998220" cy="480695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97155</wp:posOffset>
                  </wp:positionV>
                  <wp:extent cx="998220" cy="480695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河北厚勤餐饮管理服务有限公司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周文廷、李丽英、杨园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确定采购单—采购—验收入库—领用—饭菜加工—留样—提供就餐环境—清洗与保洁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火灾、天然气爆炸、触电、灼烫、意外伤害、机械伤害、食物中毒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，制定管理方案，编制运行控制程序、劳动防护用品控制程序、消防控制程序、应急准备和响应控制程序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民法典、食品安全法、食品卫生法、传染病法、劳动合同法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97155</wp:posOffset>
                  </wp:positionV>
                  <wp:extent cx="998220" cy="480695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97155</wp:posOffset>
                  </wp:positionV>
                  <wp:extent cx="998220" cy="480695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89D4BC3"/>
    <w:rsid w:val="75EF2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2022-01-21T07:36:05Z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