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隶书" w:hAnsi="宋体" w:eastAsia="隶书"/>
          <w:bCs/>
          <w:color w:val="000000"/>
          <w:sz w:val="40"/>
          <w:szCs w:val="40"/>
        </w:rPr>
      </w:pPr>
      <w:r>
        <w:rPr>
          <w:rFonts w:hint="eastAsia" w:ascii="隶书" w:hAnsi="宋体" w:eastAsia="隶书"/>
          <w:bCs/>
          <w:color w:val="000000"/>
          <w:sz w:val="40"/>
          <w:szCs w:val="40"/>
        </w:rPr>
        <w:t>管理体系审核记录表</w:t>
      </w:r>
    </w:p>
    <w:tbl>
      <w:tblPr>
        <w:tblStyle w:val="9"/>
        <w:tblW w:w="49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026"/>
        <w:gridCol w:w="10427"/>
        <w:gridCol w:w="10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1026"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涉及</w:t>
            </w:r>
          </w:p>
          <w:p>
            <w:pPr>
              <w:jc w:val="center"/>
              <w:rPr>
                <w:rFonts w:ascii="楷体" w:hAnsi="楷体" w:eastAsia="楷体"/>
              </w:rPr>
            </w:pPr>
            <w:r>
              <w:rPr>
                <w:rFonts w:hint="eastAsia" w:ascii="楷体" w:hAnsi="楷体" w:eastAsia="楷体"/>
                <w:sz w:val="24"/>
                <w:szCs w:val="24"/>
              </w:rPr>
              <w:t>条款</w:t>
            </w:r>
          </w:p>
        </w:tc>
        <w:tc>
          <w:tcPr>
            <w:tcW w:w="10429" w:type="dxa"/>
            <w:tcBorders>
              <w:top w:val="single" w:color="auto" w:sz="8" w:space="0"/>
              <w:bottom w:val="single" w:color="auto" w:sz="4" w:space="0"/>
            </w:tcBorders>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受审核部门：管理层、员工代表</w:t>
            </w:r>
            <w:r>
              <w:rPr>
                <w:rFonts w:hint="eastAsia" w:ascii="楷体" w:hAnsi="楷体" w:eastAsia="楷体"/>
                <w:sz w:val="24"/>
                <w:szCs w:val="24"/>
                <w:lang w:val="en-US" w:eastAsia="zh-CN"/>
              </w:rPr>
              <w:t xml:space="preserve">   </w:t>
            </w:r>
            <w:r>
              <w:rPr>
                <w:rFonts w:hint="eastAsia" w:ascii="楷体" w:hAnsi="楷体" w:eastAsia="楷体"/>
                <w:sz w:val="24"/>
                <w:szCs w:val="24"/>
              </w:rPr>
              <w:t>主管领导：</w:t>
            </w:r>
            <w:r>
              <w:rPr>
                <w:rFonts w:hint="eastAsia" w:ascii="楷体" w:hAnsi="楷体" w:eastAsia="楷体"/>
                <w:sz w:val="24"/>
                <w:szCs w:val="24"/>
                <w:lang w:eastAsia="zh-CN"/>
              </w:rPr>
              <w:t>马开丽</w:t>
            </w:r>
            <w:r>
              <w:rPr>
                <w:rFonts w:hint="eastAsia" w:ascii="楷体" w:hAnsi="楷体" w:eastAsia="楷体"/>
                <w:sz w:val="24"/>
                <w:szCs w:val="24"/>
                <w:lang w:val="en-US" w:eastAsia="zh-CN"/>
              </w:rPr>
              <w:t xml:space="preserve"> </w:t>
            </w:r>
            <w:r>
              <w:rPr>
                <w:rFonts w:hint="eastAsia" w:ascii="楷体" w:hAnsi="楷体" w:eastAsia="楷体"/>
                <w:sz w:val="24"/>
                <w:szCs w:val="24"/>
                <w:lang w:eastAsia="zh-CN"/>
              </w:rPr>
              <w:t>吴思瑜</w:t>
            </w:r>
            <w:r>
              <w:rPr>
                <w:rFonts w:hint="eastAsia" w:ascii="楷体" w:hAnsi="楷体" w:eastAsia="楷体"/>
                <w:sz w:val="24"/>
                <w:szCs w:val="24"/>
              </w:rPr>
              <w:t>、</w:t>
            </w:r>
            <w:r>
              <w:rPr>
                <w:rFonts w:hint="eastAsia" w:ascii="楷体" w:hAnsi="楷体" w:eastAsia="楷体"/>
                <w:sz w:val="24"/>
                <w:szCs w:val="24"/>
                <w:lang w:eastAsia="zh-CN"/>
              </w:rPr>
              <w:t>张济斌</w:t>
            </w:r>
            <w:r>
              <w:rPr>
                <w:rFonts w:hint="eastAsia" w:ascii="楷体" w:hAnsi="楷体" w:eastAsia="楷体"/>
                <w:sz w:val="24"/>
                <w:szCs w:val="24"/>
              </w:rPr>
              <w:t>（安全事务代表）</w:t>
            </w:r>
            <w:r>
              <w:rPr>
                <w:rFonts w:hint="eastAsia" w:ascii="楷体" w:hAnsi="楷体" w:eastAsia="楷体"/>
                <w:sz w:val="24"/>
                <w:szCs w:val="24"/>
                <w:lang w:val="en-US" w:eastAsia="zh-CN"/>
              </w:rPr>
              <w:t xml:space="preserve">             </w:t>
            </w:r>
            <w:r>
              <w:rPr>
                <w:rFonts w:hint="eastAsia" w:ascii="楷体" w:hAnsi="楷体" w:eastAsia="楷体"/>
                <w:sz w:val="24"/>
                <w:szCs w:val="24"/>
              </w:rPr>
              <w:t>陪同人员：</w:t>
            </w:r>
            <w:r>
              <w:rPr>
                <w:rFonts w:hint="eastAsia" w:ascii="楷体" w:hAnsi="楷体" w:eastAsia="楷体"/>
                <w:color w:val="0000FF"/>
                <w:sz w:val="24"/>
                <w:szCs w:val="24"/>
                <w:lang w:val="en-US" w:eastAsia="zh-CN"/>
              </w:rPr>
              <w:t>于丽</w:t>
            </w:r>
          </w:p>
        </w:tc>
        <w:tc>
          <w:tcPr>
            <w:tcW w:w="1054"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vMerge w:val="continue"/>
            <w:tcBorders>
              <w:top w:val="single" w:color="auto" w:sz="4" w:space="0"/>
              <w:bottom w:val="single" w:color="auto" w:sz="4" w:space="0"/>
            </w:tcBorders>
            <w:vAlign w:val="center"/>
          </w:tcPr>
          <w:p/>
        </w:tc>
        <w:tc>
          <w:tcPr>
            <w:tcW w:w="1026" w:type="dxa"/>
            <w:vMerge w:val="continue"/>
            <w:tcBorders>
              <w:top w:val="single" w:color="auto" w:sz="4" w:space="0"/>
              <w:bottom w:val="single" w:color="auto" w:sz="4" w:space="0"/>
            </w:tcBorders>
            <w:vAlign w:val="center"/>
          </w:tcPr>
          <w:p/>
        </w:tc>
        <w:tc>
          <w:tcPr>
            <w:tcW w:w="10429" w:type="dxa"/>
            <w:tcBorders>
              <w:top w:val="single" w:color="auto" w:sz="4" w:space="0"/>
              <w:bottom w:val="single" w:color="auto" w:sz="4" w:space="0"/>
            </w:tcBorders>
            <w:vAlign w:val="center"/>
          </w:tcPr>
          <w:p>
            <w:pPr>
              <w:rPr>
                <w:rFonts w:hint="eastAsia" w:ascii="楷体" w:hAnsi="楷体" w:eastAsia="楷体"/>
                <w:lang w:val="en-US" w:eastAsia="zh-CN"/>
              </w:rPr>
            </w:pPr>
            <w:r>
              <w:rPr>
                <w:rFonts w:hint="eastAsia" w:ascii="楷体" w:hAnsi="楷体" w:eastAsia="楷体"/>
                <w:sz w:val="24"/>
                <w:szCs w:val="24"/>
              </w:rPr>
              <w:t>审核员：汪桂丽                             审核时间：</w:t>
            </w:r>
            <w:r>
              <w:rPr>
                <w:rFonts w:ascii="楷体" w:hAnsi="楷体" w:eastAsia="楷体"/>
                <w:sz w:val="24"/>
                <w:szCs w:val="24"/>
              </w:rPr>
              <w:t>202</w:t>
            </w:r>
            <w:r>
              <w:rPr>
                <w:rFonts w:hint="eastAsia" w:ascii="楷体" w:hAnsi="楷体" w:eastAsia="楷体"/>
                <w:sz w:val="24"/>
                <w:szCs w:val="24"/>
                <w:lang w:val="en-US" w:eastAsia="zh-CN"/>
              </w:rPr>
              <w:t>2</w:t>
            </w:r>
            <w:r>
              <w:rPr>
                <w:rFonts w:ascii="楷体" w:hAnsi="楷体" w:eastAsia="楷体"/>
                <w:sz w:val="24"/>
                <w:szCs w:val="24"/>
              </w:rPr>
              <w:t>.1.</w:t>
            </w:r>
            <w:r>
              <w:rPr>
                <w:rFonts w:hint="eastAsia" w:ascii="楷体" w:hAnsi="楷体" w:eastAsia="楷体"/>
                <w:sz w:val="24"/>
                <w:szCs w:val="24"/>
              </w:rPr>
              <w:t>2</w:t>
            </w:r>
            <w:r>
              <w:rPr>
                <w:rFonts w:hint="eastAsia" w:ascii="楷体" w:hAnsi="楷体" w:eastAsia="楷体"/>
                <w:sz w:val="24"/>
                <w:szCs w:val="24"/>
                <w:lang w:val="en-US" w:eastAsia="zh-CN"/>
              </w:rPr>
              <w:t>0</w:t>
            </w:r>
          </w:p>
        </w:tc>
        <w:tc>
          <w:tcPr>
            <w:tcW w:w="1054" w:type="dxa"/>
            <w:vMerge w:val="continue"/>
            <w:tcBorders>
              <w:top w:val="single" w:color="auto" w:sz="4" w:space="0"/>
              <w:bottom w:val="single" w:color="auto" w:sz="4"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120" w:type="dxa"/>
            <w:vMerge w:val="continue"/>
            <w:tcBorders>
              <w:top w:val="single" w:color="auto" w:sz="4" w:space="0"/>
              <w:bottom w:val="single" w:color="auto" w:sz="8" w:space="0"/>
            </w:tcBorders>
            <w:vAlign w:val="center"/>
          </w:tcPr>
          <w:p/>
        </w:tc>
        <w:tc>
          <w:tcPr>
            <w:tcW w:w="1026" w:type="dxa"/>
            <w:vMerge w:val="continue"/>
            <w:tcBorders>
              <w:top w:val="single" w:color="auto" w:sz="4" w:space="0"/>
              <w:bottom w:val="single" w:color="auto" w:sz="8" w:space="0"/>
            </w:tcBorders>
            <w:vAlign w:val="center"/>
          </w:tcPr>
          <w:p/>
        </w:tc>
        <w:tc>
          <w:tcPr>
            <w:tcW w:w="10429" w:type="dxa"/>
            <w:tcBorders>
              <w:top w:val="single" w:color="auto" w:sz="4" w:space="0"/>
              <w:bottom w:val="single" w:color="auto" w:sz="8" w:space="0"/>
            </w:tcBorders>
            <w:vAlign w:val="center"/>
          </w:tcPr>
          <w:p>
            <w:pPr>
              <w:adjustRightInd w:val="0"/>
              <w:snapToGrid w:val="0"/>
              <w:spacing w:line="280" w:lineRule="exact"/>
              <w:ind w:right="105" w:rightChars="50"/>
              <w:textAlignment w:val="baseline"/>
              <w:rPr>
                <w:rFonts w:ascii="宋体" w:hAnsi="宋体" w:cs="Arial"/>
                <w:szCs w:val="21"/>
              </w:rPr>
            </w:pPr>
            <w:r>
              <w:rPr>
                <w:rFonts w:hint="eastAsia" w:ascii="楷体" w:hAnsi="楷体" w:eastAsia="楷体"/>
                <w:sz w:val="24"/>
                <w:szCs w:val="24"/>
              </w:rPr>
              <w:t>审核条款：</w:t>
            </w:r>
            <w:r>
              <w:rPr>
                <w:rFonts w:hint="eastAsia" w:ascii="宋体" w:hAnsi="宋体" w:cs="Arial"/>
                <w:b/>
                <w:bCs/>
                <w:szCs w:val="21"/>
              </w:rPr>
              <w:t>QEO:</w:t>
            </w:r>
            <w:r>
              <w:rPr>
                <w:rFonts w:hint="eastAsia" w:ascii="宋体" w:hAnsi="宋体" w:cs="Arial"/>
                <w:szCs w:val="21"/>
              </w:rPr>
              <w:t>4.1理解组织及其环境、4.2理解相关方的需求和期望、4.3 确定管理体系的范围、4.4质量/环境/职业健康安全管理体系及其过程、5.1领导作用和承诺、5.2质量/环境/职业健康安全方针、5.3组织的岗位、职责和权限、5.4（O）协商与参与、6.1应对风险和机遇的措施、6.2质量/环境/职业健康安全目标及其实现的策划、6.3变更的策划、7.1.1（EO7.1）资源总则、7.4沟通（信息交流7.4.1总则、7.4.2内部信息、7.4.3外部信息交流）、9.3管理评审、10.1改进、10.3持续改进，</w:t>
            </w:r>
          </w:p>
          <w:p>
            <w:pPr>
              <w:adjustRightInd w:val="0"/>
              <w:snapToGrid w:val="0"/>
              <w:spacing w:line="280" w:lineRule="exact"/>
              <w:ind w:right="105" w:rightChars="50"/>
              <w:textAlignment w:val="baseline"/>
            </w:pPr>
            <w:r>
              <w:rPr>
                <w:rFonts w:hint="eastAsia" w:ascii="宋体" w:hAnsi="宋体" w:cs="Arial"/>
                <w:szCs w:val="21"/>
              </w:rPr>
              <w:t>国家/地方监督抽查情况；顾客满意、相关方投诉及处理情况；验证企业相关资质证明的有效性，审核问题验证；</w:t>
            </w:r>
          </w:p>
        </w:tc>
        <w:tc>
          <w:tcPr>
            <w:tcW w:w="1054" w:type="dxa"/>
            <w:vMerge w:val="continue"/>
            <w:tcBorders>
              <w:top w:val="single" w:color="auto" w:sz="4" w:space="0"/>
              <w:bottom w:val="single" w:color="auto" w:sz="8"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Borders>
              <w:top w:val="single" w:color="auto" w:sz="8" w:space="0"/>
            </w:tcBorders>
          </w:tcPr>
          <w:p>
            <w:pPr>
              <w:rPr>
                <w:rFonts w:ascii="宋体" w:hAnsi="宋体" w:cs="Arial"/>
                <w:szCs w:val="21"/>
              </w:rPr>
            </w:pPr>
            <w:r>
              <w:rPr>
                <w:rFonts w:hint="eastAsia" w:ascii="宋体" w:hAnsi="宋体" w:cs="Arial"/>
                <w:szCs w:val="21"/>
              </w:rPr>
              <w:t>理解组织及其环境</w:t>
            </w:r>
          </w:p>
        </w:tc>
        <w:tc>
          <w:tcPr>
            <w:tcW w:w="1026" w:type="dxa"/>
            <w:tcBorders>
              <w:top w:val="single" w:color="auto" w:sz="8" w:space="0"/>
            </w:tcBorders>
          </w:tcPr>
          <w:p>
            <w:pPr>
              <w:rPr>
                <w:rFonts w:ascii="宋体" w:hAnsi="宋体" w:cs="Arial"/>
                <w:szCs w:val="21"/>
              </w:rPr>
            </w:pPr>
            <w:r>
              <w:rPr>
                <w:rFonts w:hint="eastAsia" w:ascii="宋体" w:hAnsi="宋体" w:cs="Arial"/>
                <w:szCs w:val="21"/>
              </w:rPr>
              <w:t>4.1</w:t>
            </w:r>
          </w:p>
        </w:tc>
        <w:tc>
          <w:tcPr>
            <w:tcW w:w="10429" w:type="dxa"/>
            <w:tcBorders>
              <w:top w:val="single" w:color="auto" w:sz="8" w:space="0"/>
            </w:tcBorders>
          </w:tcPr>
          <w:p>
            <w:pPr>
              <w:ind w:firstLine="420" w:firstLineChars="200"/>
              <w:jc w:val="left"/>
            </w:pPr>
            <w:r>
              <w:rPr>
                <w:rFonts w:hint="eastAsia"/>
                <w:lang w:val="en-US" w:eastAsia="zh-CN"/>
              </w:rPr>
              <w:t>与</w:t>
            </w:r>
            <w:r>
              <w:rPr>
                <w:rFonts w:hint="eastAsia"/>
              </w:rPr>
              <w:t>公司总经理交流：</w:t>
            </w:r>
          </w:p>
          <w:p>
            <w:pPr>
              <w:spacing w:line="360" w:lineRule="auto"/>
              <w:ind w:firstLine="420" w:firstLineChars="200"/>
            </w:pPr>
            <w:r>
              <w:rPr>
                <w:rFonts w:hint="eastAsia"/>
              </w:rPr>
              <w:t>本公司在建立质量、环境、职业健康安全综合管理体系时，确定外部（</w:t>
            </w:r>
            <w:bookmarkStart w:id="0" w:name="OLE_LINK241"/>
            <w:r>
              <w:rPr>
                <w:rFonts w:hint="eastAsia"/>
              </w:rPr>
              <w:t>包括</w:t>
            </w:r>
            <w:bookmarkStart w:id="1" w:name="OLE_LINK243"/>
            <w:r>
              <w:rPr>
                <w:rFonts w:hint="eastAsia"/>
              </w:rPr>
              <w:t>法规、先进技术、产品和服务使用者的文化、经济性及市场环境等</w:t>
            </w:r>
            <w:bookmarkEnd w:id="0"/>
            <w:bookmarkEnd w:id="1"/>
            <w:r>
              <w:rPr>
                <w:rFonts w:hint="eastAsia"/>
              </w:rPr>
              <w:t>）和内部（企业的经营理念、经营战略、企业文化、公司知识和经验等）那些与组织的宗旨、战略方向有关、影响质量、环境、职业健康安全综合管理体系实现预期结果的能力的事务。</w:t>
            </w:r>
          </w:p>
          <w:p>
            <w:pPr>
              <w:spacing w:line="360" w:lineRule="auto"/>
              <w:ind w:firstLine="420" w:firstLineChars="200"/>
            </w:pPr>
            <w:r>
              <w:rPr>
                <w:rFonts w:hint="eastAsia"/>
              </w:rPr>
              <w:t>公司在确定这些相关的内部和外部事宜时，公</w:t>
            </w:r>
            <w:r>
              <w:rPr>
                <w:rFonts w:hint="eastAsia"/>
                <w:lang w:val="en-US" w:eastAsia="zh-CN"/>
              </w:rPr>
              <w:t>司</w:t>
            </w:r>
            <w:r>
              <w:rPr>
                <w:rFonts w:hint="eastAsia"/>
              </w:rPr>
              <w:t>考虑以下方面：</w:t>
            </w:r>
          </w:p>
          <w:p>
            <w:pPr>
              <w:spacing w:line="360" w:lineRule="auto"/>
              <w:ind w:left="420" w:leftChars="200"/>
            </w:pPr>
            <w:r>
              <w:t>a</w:t>
            </w:r>
            <w:r>
              <w:rPr>
                <w:rFonts w:hint="eastAsia"/>
              </w:rPr>
              <w:t>）可能对公司的目标造成影响的变更和趋势；</w:t>
            </w:r>
          </w:p>
          <w:p>
            <w:pPr>
              <w:spacing w:line="360" w:lineRule="auto"/>
              <w:ind w:left="420" w:leftChars="200"/>
            </w:pPr>
            <w:r>
              <w:t>b</w:t>
            </w:r>
            <w:r>
              <w:rPr>
                <w:rFonts w:hint="eastAsia"/>
              </w:rPr>
              <w:t>）与相关方的关系，以及相关方的理念、价值观；</w:t>
            </w:r>
          </w:p>
          <w:p>
            <w:pPr>
              <w:spacing w:line="360" w:lineRule="auto"/>
              <w:ind w:left="420" w:leftChars="200"/>
            </w:pPr>
            <w:r>
              <w:t>c</w:t>
            </w:r>
            <w:r>
              <w:rPr>
                <w:rFonts w:hint="eastAsia"/>
              </w:rPr>
              <w:t>）公司管理、战略优先、内部政策和承诺；</w:t>
            </w:r>
          </w:p>
          <w:p>
            <w:pPr>
              <w:spacing w:line="360" w:lineRule="auto"/>
              <w:ind w:left="420" w:leftChars="200"/>
            </w:pPr>
            <w:r>
              <w:t>d</w:t>
            </w:r>
            <w:r>
              <w:rPr>
                <w:rFonts w:hint="eastAsia"/>
              </w:rPr>
              <w:t>）资源的获得和优先供给、技术变更；</w:t>
            </w:r>
          </w:p>
          <w:p>
            <w:pPr>
              <w:spacing w:line="360" w:lineRule="auto"/>
              <w:ind w:left="420" w:leftChars="200"/>
              <w:rPr>
                <w:rFonts w:hint="eastAsia"/>
              </w:rPr>
            </w:pPr>
            <w:r>
              <w:t xml:space="preserve">e) </w:t>
            </w:r>
            <w:r>
              <w:rPr>
                <w:rFonts w:hint="eastAsia"/>
              </w:rPr>
              <w:t>受组织影响的或能够影响组织的环境因素、职业健康安全因素。</w:t>
            </w:r>
          </w:p>
          <w:p>
            <w:pPr>
              <w:pStyle w:val="16"/>
              <w:spacing w:line="400" w:lineRule="exact"/>
            </w:pP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公司管理层和各部门可根据上述涉及到本部门的内外部因素，在年度工作总结报告中进行分析，运用SWOT分析法对内、外部环境进行优势、劣势、威胁、风险和机遇分析，对存在劣势和威胁的可能性方面制定控制措施，尽可能将风险控制在可接受的范围内，对机遇出现时应及时把握，有效的利用机遇。    </w:t>
            </w:r>
          </w:p>
        </w:tc>
        <w:tc>
          <w:tcPr>
            <w:tcW w:w="1054" w:type="dxa"/>
            <w:tcBorders>
              <w:top w:val="single" w:color="auto" w:sz="8" w:space="0"/>
            </w:tcBorders>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rPr>
            </w:pPr>
            <w:r>
              <w:rPr>
                <w:rFonts w:hint="eastAsia" w:ascii="宋体" w:hAnsi="宋体" w:cs="Arial"/>
                <w:szCs w:val="21"/>
              </w:rPr>
              <w:t>理解相关方的需求和期望</w:t>
            </w:r>
          </w:p>
        </w:tc>
        <w:tc>
          <w:tcPr>
            <w:tcW w:w="1026" w:type="dxa"/>
          </w:tcPr>
          <w:p>
            <w:pPr>
              <w:rPr>
                <w:rFonts w:ascii="宋体" w:hAnsi="宋体" w:cs="Arial"/>
                <w:szCs w:val="21"/>
              </w:rPr>
            </w:pPr>
            <w:r>
              <w:rPr>
                <w:rFonts w:hint="eastAsia" w:ascii="宋体" w:hAnsi="宋体" w:cs="Arial"/>
                <w:szCs w:val="21"/>
              </w:rPr>
              <w:t>4.2</w:t>
            </w:r>
          </w:p>
        </w:tc>
        <w:tc>
          <w:tcPr>
            <w:tcW w:w="10429" w:type="dxa"/>
          </w:tcPr>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公司建立了管理文件，分别对相关方的需求及期望进行识别确认，并对这类需求及要求等进行管理及定期更</w:t>
            </w:r>
          </w:p>
          <w:p>
            <w:pPr>
              <w:spacing w:line="360" w:lineRule="auto"/>
              <w:rPr>
                <w:rFonts w:ascii="Times New Roman" w:hAnsi="Times New Roman" w:eastAsia="宋体" w:cs="Times New Roman"/>
              </w:rPr>
            </w:pPr>
            <w:r>
              <w:rPr>
                <w:rFonts w:hint="eastAsia" w:ascii="Times New Roman" w:hAnsi="Times New Roman" w:eastAsia="宋体" w:cs="Times New Roman"/>
              </w:rPr>
              <w:t xml:space="preserve">新，保持有效性。各负责部门按控制措施执行，满足这些相关方需求和期望，没有发生相关方投诉现象。 </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lang w:val="en-US" w:eastAsia="zh-CN"/>
              </w:rPr>
              <w:t>公</w:t>
            </w:r>
            <w:r>
              <w:rPr>
                <w:rFonts w:hint="eastAsia" w:ascii="Times New Roman" w:hAnsi="Times New Roman" w:eastAsia="宋体" w:cs="Times New Roman"/>
              </w:rPr>
              <w:t>司</w:t>
            </w:r>
            <w:r>
              <w:rPr>
                <w:rFonts w:hint="eastAsia" w:ascii="Times New Roman" w:hAnsi="Times New Roman" w:eastAsia="宋体" w:cs="Times New Roman"/>
                <w:lang w:eastAsia="zh-CN"/>
              </w:rPr>
              <w:t>总经理</w:t>
            </w:r>
            <w:r>
              <w:rPr>
                <w:rFonts w:hint="eastAsia" w:ascii="Times New Roman" w:hAnsi="Times New Roman" w:eastAsia="宋体" w:cs="Times New Roman"/>
              </w:rPr>
              <w:t>说明公司相关方包括：客户（最终使用者以及直接客户）、供方、委托方、员工（包括管理者）、</w:t>
            </w:r>
          </w:p>
          <w:p>
            <w:pPr>
              <w:spacing w:line="360" w:lineRule="auto"/>
              <w:rPr>
                <w:rFonts w:ascii="Times New Roman" w:hAnsi="Times New Roman" w:eastAsia="宋体" w:cs="Times New Roman"/>
              </w:rPr>
            </w:pPr>
            <w:r>
              <w:rPr>
                <w:rFonts w:hint="eastAsia" w:ascii="Times New Roman" w:hAnsi="Times New Roman" w:eastAsia="宋体" w:cs="Times New Roman"/>
              </w:rPr>
              <w:t>政府部门，以及其他人员。</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公司重新识别、收集了适用的法律法规及其他相关要求并形成清单，定期对本公司环境、职业健康安全管理</w:t>
            </w:r>
          </w:p>
          <w:p>
            <w:pPr>
              <w:spacing w:line="360" w:lineRule="auto"/>
            </w:pPr>
            <w:r>
              <w:rPr>
                <w:rFonts w:hint="eastAsia" w:ascii="Times New Roman" w:hAnsi="Times New Roman" w:eastAsia="宋体" w:cs="Times New Roman"/>
              </w:rPr>
              <w:t>体系运行过程中，应遵循的国家环境保护、安全防护法律法规的承诺状况进行了评价。</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lang w:val="en-GB"/>
              </w:rPr>
            </w:pPr>
            <w:r>
              <w:rPr>
                <w:rFonts w:hint="eastAsia" w:ascii="宋体" w:hAnsi="宋体" w:cs="Arial"/>
                <w:szCs w:val="21"/>
              </w:rPr>
              <w:t>确定质量环境</w:t>
            </w:r>
            <w:r>
              <w:rPr>
                <w:rFonts w:hint="eastAsia" w:ascii="宋体" w:hAnsi="宋体" w:cs="Arial"/>
                <w:szCs w:val="21"/>
                <w:lang w:val="en-GB"/>
              </w:rPr>
              <w:t>职业健康安全</w:t>
            </w:r>
            <w:r>
              <w:rPr>
                <w:rFonts w:hint="eastAsia" w:ascii="宋体" w:hAnsi="宋体" w:cs="Arial"/>
                <w:szCs w:val="21"/>
              </w:rPr>
              <w:t xml:space="preserve">管理体系的范围 </w:t>
            </w:r>
          </w:p>
          <w:p/>
        </w:tc>
        <w:tc>
          <w:tcPr>
            <w:tcW w:w="1026" w:type="dxa"/>
          </w:tcPr>
          <w:p>
            <w:pPr>
              <w:rPr>
                <w:rFonts w:ascii="宋体" w:hAnsi="宋体" w:cs="Arial"/>
                <w:szCs w:val="21"/>
              </w:rPr>
            </w:pPr>
            <w:r>
              <w:rPr>
                <w:rFonts w:hint="eastAsia" w:ascii="宋体" w:hAnsi="宋体" w:cs="Arial"/>
                <w:szCs w:val="21"/>
              </w:rPr>
              <w:t xml:space="preserve">4.3 </w:t>
            </w:r>
          </w:p>
        </w:tc>
        <w:tc>
          <w:tcPr>
            <w:tcW w:w="10429" w:type="dxa"/>
          </w:tcPr>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公司在确定管理体系范围时公司考虑了以下内容：各种内部和外部因素；相关方的要求，相关合规义务；组织的活动、产品和服务等；</w:t>
            </w:r>
          </w:p>
          <w:p>
            <w:pPr>
              <w:spacing w:line="360" w:lineRule="auto"/>
              <w:ind w:left="420" w:leftChars="200"/>
              <w:rPr>
                <w:rFonts w:hint="default" w:ascii="Times New Roman" w:hAnsi="Times New Roman" w:eastAsia="宋体" w:cs="Times New Roman"/>
                <w:lang w:val="en-US" w:eastAsia="zh-CN"/>
              </w:rPr>
            </w:pPr>
            <w:bookmarkStart w:id="2" w:name="生产地址"/>
            <w:r>
              <w:rPr>
                <w:rFonts w:hint="eastAsia" w:ascii="Times New Roman" w:hAnsi="Times New Roman" w:eastAsia="宋体" w:cs="Times New Roman"/>
                <w:lang w:val="en-US" w:eastAsia="zh-CN"/>
              </w:rPr>
              <w:t>注册地址：</w:t>
            </w:r>
            <w:bookmarkStart w:id="3" w:name="注册地址"/>
            <w:r>
              <w:rPr>
                <w:rFonts w:hint="eastAsia" w:ascii="Times New Roman" w:hAnsi="Times New Roman" w:eastAsia="宋体" w:cs="Times New Roman"/>
              </w:rPr>
              <w:t>山东省青岛市黄岛区车轮山路388号1栋3办公3106户</w:t>
            </w:r>
            <w:bookmarkEnd w:id="3"/>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lang w:val="en-US" w:eastAsia="zh-CN"/>
              </w:rPr>
              <w:t>经营地址：</w:t>
            </w:r>
            <w:r>
              <w:rPr>
                <w:rFonts w:hint="eastAsia" w:ascii="Times New Roman" w:hAnsi="Times New Roman" w:eastAsia="宋体" w:cs="Times New Roman"/>
              </w:rPr>
              <w:t>山东省青岛市黄岛区珠海街道王家楼工业园</w:t>
            </w:r>
            <w:bookmarkEnd w:id="2"/>
            <w:r>
              <w:rPr>
                <w:rFonts w:hint="eastAsia" w:ascii="Times New Roman" w:hAnsi="Times New Roman" w:eastAsia="宋体" w:cs="Times New Roman"/>
              </w:rPr>
              <w:t>；</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公司的部门设置包括：管理层、</w:t>
            </w:r>
            <w:r>
              <w:rPr>
                <w:rFonts w:hint="eastAsia" w:ascii="Times New Roman" w:hAnsi="Times New Roman" w:eastAsia="宋体" w:cs="Times New Roman"/>
                <w:lang w:val="en-US" w:eastAsia="zh-CN"/>
              </w:rPr>
              <w:t>综合部</w:t>
            </w:r>
            <w:r>
              <w:rPr>
                <w:rFonts w:hint="eastAsia" w:ascii="Times New Roman" w:hAnsi="Times New Roman" w:eastAsia="宋体" w:cs="Times New Roman"/>
              </w:rPr>
              <w:t>、生产</w:t>
            </w:r>
            <w:r>
              <w:rPr>
                <w:rFonts w:hint="eastAsia" w:ascii="Times New Roman" w:hAnsi="Times New Roman" w:eastAsia="宋体" w:cs="Times New Roman"/>
                <w:lang w:val="en-US" w:eastAsia="zh-CN"/>
              </w:rPr>
              <w:t>部、</w:t>
            </w:r>
            <w:r>
              <w:rPr>
                <w:rFonts w:hint="eastAsia" w:ascii="Times New Roman" w:hAnsi="Times New Roman" w:eastAsia="宋体" w:cs="Times New Roman"/>
              </w:rPr>
              <w:t>技</w:t>
            </w:r>
            <w:r>
              <w:rPr>
                <w:rFonts w:hint="eastAsia" w:ascii="Times New Roman" w:hAnsi="Times New Roman" w:eastAsia="宋体" w:cs="Times New Roman"/>
                <w:lang w:val="en-US" w:eastAsia="zh-CN"/>
              </w:rPr>
              <w:t>质</w:t>
            </w:r>
            <w:r>
              <w:rPr>
                <w:rFonts w:hint="eastAsia" w:ascii="Times New Roman" w:hAnsi="Times New Roman" w:eastAsia="宋体" w:cs="Times New Roman"/>
              </w:rPr>
              <w:t>部；</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公司管理体系范围为：</w:t>
            </w:r>
          </w:p>
          <w:p>
            <w:pPr>
              <w:spacing w:line="360" w:lineRule="auto"/>
              <w:ind w:left="420" w:leftChars="200"/>
              <w:rPr>
                <w:rFonts w:hint="eastAsia" w:ascii="Times New Roman" w:hAnsi="Times New Roman" w:eastAsia="宋体" w:cs="Times New Roman"/>
              </w:rPr>
            </w:pPr>
            <w:bookmarkStart w:id="4" w:name="审核范围"/>
            <w:r>
              <w:rPr>
                <w:rFonts w:hint="eastAsia" w:ascii="Times New Roman" w:hAnsi="Times New Roman" w:eastAsia="宋体" w:cs="Times New Roman"/>
              </w:rPr>
              <w:t>Q：视觉集成控制系统的生产（组装）</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E：视觉集成控制系统的生产（组装）所涉及场所的相关环境管理活动</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O：视觉</w:t>
            </w:r>
            <w:bookmarkStart w:id="9" w:name="_GoBack"/>
            <w:bookmarkEnd w:id="9"/>
            <w:r>
              <w:rPr>
                <w:rFonts w:hint="eastAsia" w:ascii="Times New Roman" w:hAnsi="Times New Roman" w:eastAsia="宋体" w:cs="Times New Roman"/>
              </w:rPr>
              <w:t>集成控制系统的生产（组装）所涉及场所的相关职业健康安全管理活动</w:t>
            </w:r>
            <w:bookmarkEnd w:id="4"/>
            <w:r>
              <w:rPr>
                <w:rFonts w:hint="eastAsia" w:ascii="Times New Roman" w:hAnsi="Times New Roman" w:eastAsia="宋体" w:cs="Times New Roman"/>
              </w:rPr>
              <w:t>不适用条款</w:t>
            </w:r>
            <w:r>
              <w:rPr>
                <w:rFonts w:hint="eastAsia" w:ascii="Times New Roman" w:hAnsi="Times New Roman" w:eastAsia="宋体" w:cs="Times New Roman"/>
                <w:lang w:val="en-US" w:eastAsia="zh-CN"/>
              </w:rPr>
              <w:t>ISO9001中的8.3条款</w:t>
            </w:r>
            <w:r>
              <w:rPr>
                <w:rFonts w:hint="eastAsia" w:ascii="Times New Roman" w:hAnsi="Times New Roman" w:eastAsia="宋体" w:cs="Times New Roman"/>
              </w:rPr>
              <w:t>；</w:t>
            </w:r>
          </w:p>
          <w:p>
            <w:pPr>
              <w:spacing w:line="360" w:lineRule="auto"/>
              <w:ind w:left="420" w:leftChars="200"/>
              <w:rPr>
                <w:rFonts w:ascii="宋体" w:hAnsi="宋体" w:cs="宋体"/>
                <w:bCs/>
                <w:color w:val="000000"/>
                <w:spacing w:val="10"/>
                <w:sz w:val="22"/>
                <w:szCs w:val="22"/>
              </w:rPr>
            </w:pPr>
            <w:r>
              <w:rPr>
                <w:rFonts w:hint="eastAsia" w:ascii="Times New Roman" w:hAnsi="Times New Roman" w:eastAsia="宋体" w:cs="Times New Roman"/>
              </w:rPr>
              <w:t>外包过程：</w:t>
            </w:r>
            <w:r>
              <w:rPr>
                <w:rFonts w:hint="eastAsia" w:ascii="Times New Roman" w:hAnsi="Times New Roman" w:eastAsia="宋体" w:cs="Times New Roman"/>
                <w:lang w:val="en-US" w:eastAsia="zh-CN"/>
              </w:rPr>
              <w:t>结构</w:t>
            </w:r>
            <w:r>
              <w:rPr>
                <w:rFonts w:hint="eastAsia" w:ascii="Times New Roman" w:hAnsi="Times New Roman" w:eastAsia="宋体" w:cs="Times New Roman"/>
              </w:rPr>
              <w:t>部件制作。</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rPr>
            </w:pPr>
            <w:r>
              <w:rPr>
                <w:rFonts w:hint="eastAsia" w:ascii="宋体" w:hAnsi="宋体" w:cs="Arial"/>
                <w:szCs w:val="21"/>
              </w:rPr>
              <w:t>质量、环境 、职业健康安全管理体系及其过程</w:t>
            </w:r>
          </w:p>
          <w:p/>
        </w:tc>
        <w:tc>
          <w:tcPr>
            <w:tcW w:w="1026" w:type="dxa"/>
          </w:tcPr>
          <w:p>
            <w:pPr>
              <w:rPr>
                <w:rFonts w:ascii="宋体" w:hAnsi="宋体" w:cs="Arial"/>
                <w:szCs w:val="21"/>
              </w:rPr>
            </w:pPr>
            <w:r>
              <w:rPr>
                <w:rFonts w:hint="eastAsia" w:ascii="宋体" w:hAnsi="宋体" w:cs="Arial"/>
                <w:szCs w:val="21"/>
              </w:rPr>
              <w:t xml:space="preserve">4.4 </w:t>
            </w:r>
          </w:p>
          <w:p/>
        </w:tc>
        <w:tc>
          <w:tcPr>
            <w:tcW w:w="10429" w:type="dxa"/>
          </w:tcPr>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公司确定体系的目标和实现这些目标所需的过程；明确了为管理过程确定职责、权限和义务；确定了组织的</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能力及预先确定资源约束条件；确定了过程相互依赖的关系，分析了个别过程的变更对整个体系的影响；公司为确保获得必要的信息，以运行和改进过程并监视、分析和评价整个体系的绩效；</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公司在建立并保持质量、环境和职业健康安全管理体系时，考虑了标准4.1和4.2获得的知识并已形成文件</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化信息要求；</w:t>
            </w:r>
          </w:p>
          <w:p>
            <w:pPr>
              <w:spacing w:line="360" w:lineRule="auto"/>
              <w:ind w:left="420" w:leftChars="200"/>
              <w:rPr>
                <w:rFonts w:hint="eastAsia" w:ascii="Times New Roman" w:hAnsi="Times New Roman" w:eastAsia="宋体" w:cs="Times New Roman"/>
                <w:lang w:val="en-US" w:eastAsia="zh-CN"/>
              </w:rPr>
            </w:pPr>
            <w:r>
              <w:rPr>
                <w:rFonts w:hint="eastAsia" w:ascii="Times New Roman" w:hAnsi="Times New Roman" w:eastAsia="宋体" w:cs="Times New Roman"/>
              </w:rPr>
              <w:t>明确了管理可能影响过程输出和管理体系整体结果的风险；其中包括确定了管理体系范围、组织结构图、</w:t>
            </w:r>
            <w:r>
              <w:rPr>
                <w:rFonts w:hint="eastAsia" w:ascii="Times New Roman" w:hAnsi="Times New Roman" w:eastAsia="宋体" w:cs="Times New Roman"/>
                <w:lang w:val="en-US" w:eastAsia="zh-CN"/>
              </w:rPr>
              <w:t>生</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产和</w:t>
            </w:r>
            <w:r>
              <w:rPr>
                <w:rFonts w:hint="eastAsia" w:ascii="Times New Roman" w:hAnsi="Times New Roman" w:eastAsia="宋体" w:cs="Times New Roman"/>
              </w:rPr>
              <w:t>服务的过程/能力、绩效指标的确定、风险及机遇的识别、职责和权限的</w:t>
            </w:r>
            <w:r>
              <w:rPr>
                <w:rFonts w:hint="eastAsia" w:ascii="Times New Roman" w:hAnsi="Times New Roman" w:eastAsia="宋体" w:cs="Times New Roman"/>
                <w:lang w:val="en-US" w:eastAsia="zh-CN"/>
              </w:rPr>
              <w:t>明确</w:t>
            </w:r>
            <w:r>
              <w:rPr>
                <w:rFonts w:hint="eastAsia" w:ascii="Times New Roman" w:hAnsi="Times New Roman" w:eastAsia="宋体" w:cs="Times New Roman"/>
              </w:rPr>
              <w:t>、识别了变更对过程的影响、及体系应获取的资源、提供了内审和管理评审的实施情况等。</w:t>
            </w:r>
          </w:p>
          <w:p>
            <w:pPr>
              <w:spacing w:line="360" w:lineRule="auto"/>
              <w:ind w:left="420" w:leftChars="200"/>
              <w:rPr>
                <w:rFonts w:ascii="宋体" w:hAnsi="宋体" w:cs="宋体"/>
                <w:bCs/>
                <w:color w:val="000000"/>
                <w:spacing w:val="10"/>
                <w:sz w:val="22"/>
                <w:szCs w:val="22"/>
              </w:rPr>
            </w:pPr>
            <w:r>
              <w:rPr>
                <w:rFonts w:hint="eastAsia" w:ascii="Times New Roman" w:hAnsi="Times New Roman" w:eastAsia="宋体" w:cs="Times New Roman"/>
              </w:rPr>
              <w:t>自体系建立以来，没有变更的情况。</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r>
              <w:rPr>
                <w:rFonts w:hint="eastAsia" w:ascii="宋体" w:hAnsi="宋体" w:cs="宋体"/>
                <w:szCs w:val="21"/>
              </w:rPr>
              <w:t>领导作用与承诺——总则</w:t>
            </w:r>
          </w:p>
        </w:tc>
        <w:tc>
          <w:tcPr>
            <w:tcW w:w="1026" w:type="dxa"/>
          </w:tcPr>
          <w:p>
            <w:pPr>
              <w:rPr>
                <w:rFonts w:ascii="宋体" w:hAnsi="宋体" w:cs="宋体"/>
                <w:szCs w:val="21"/>
              </w:rPr>
            </w:pPr>
            <w:r>
              <w:rPr>
                <w:rFonts w:hint="eastAsia" w:ascii="宋体" w:hAnsi="宋体" w:cs="宋体"/>
                <w:szCs w:val="21"/>
              </w:rPr>
              <w:t>5.1</w:t>
            </w:r>
          </w:p>
          <w:p>
            <w:pPr>
              <w:rPr>
                <w:rFonts w:ascii="宋体" w:hAnsi="宋体" w:cs="宋体"/>
                <w:szCs w:val="21"/>
              </w:rPr>
            </w:pPr>
            <w:r>
              <w:rPr>
                <w:rFonts w:hint="eastAsia" w:ascii="宋体" w:hAnsi="宋体" w:cs="宋体"/>
                <w:szCs w:val="21"/>
              </w:rPr>
              <w:t>5.1.1</w:t>
            </w:r>
          </w:p>
          <w:p/>
        </w:tc>
        <w:tc>
          <w:tcPr>
            <w:tcW w:w="10429" w:type="dxa"/>
            <w:vAlign w:val="center"/>
          </w:tcPr>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lang w:val="en-US" w:eastAsia="zh-CN"/>
              </w:rPr>
              <w:t>总经理</w:t>
            </w:r>
            <w:r>
              <w:rPr>
                <w:rFonts w:hint="eastAsia" w:ascii="宋体" w:hAnsi="宋体" w:cs="宋体"/>
                <w:bCs/>
                <w:color w:val="000000"/>
                <w:spacing w:val="10"/>
                <w:sz w:val="22"/>
                <w:szCs w:val="22"/>
              </w:rPr>
              <w:t>通过以下方面证实其质量、环境、职业健康安全管理体系的领导作用与承诺：</w:t>
            </w:r>
          </w:p>
          <w:p>
            <w:pPr>
              <w:pStyle w:val="16"/>
              <w:numPr>
                <w:ilvl w:val="0"/>
                <w:numId w:val="1"/>
              </w:numPr>
              <w:spacing w:line="440" w:lineRule="exact"/>
              <w:ind w:firstLine="6"/>
              <w:rPr>
                <w:color w:val="auto"/>
                <w:sz w:val="21"/>
                <w:szCs w:val="21"/>
              </w:rPr>
            </w:pPr>
            <w:r>
              <w:rPr>
                <w:color w:val="auto"/>
                <w:sz w:val="21"/>
                <w:szCs w:val="21"/>
              </w:rPr>
              <w:t xml:space="preserve">对质量、环境和职业健康安全管理体系的有效性承担责任； </w:t>
            </w:r>
          </w:p>
          <w:p>
            <w:pPr>
              <w:pStyle w:val="16"/>
              <w:numPr>
                <w:ilvl w:val="0"/>
                <w:numId w:val="1"/>
              </w:numPr>
              <w:spacing w:line="440" w:lineRule="exact"/>
              <w:ind w:firstLine="6"/>
              <w:rPr>
                <w:color w:val="auto"/>
                <w:sz w:val="21"/>
                <w:szCs w:val="21"/>
              </w:rPr>
            </w:pPr>
            <w:r>
              <w:rPr>
                <w:color w:val="auto"/>
                <w:sz w:val="21"/>
                <w:szCs w:val="21"/>
              </w:rPr>
              <w:t xml:space="preserve">确保制定质量、环境和职业健康安全管理体系的质量方针和管理目标,并与组织环境和战略方向相一致； </w:t>
            </w:r>
          </w:p>
          <w:p>
            <w:pPr>
              <w:pStyle w:val="16"/>
              <w:numPr>
                <w:ilvl w:val="0"/>
                <w:numId w:val="1"/>
              </w:numPr>
              <w:spacing w:line="440" w:lineRule="exact"/>
              <w:ind w:firstLine="6"/>
              <w:rPr>
                <w:color w:val="auto"/>
                <w:sz w:val="21"/>
                <w:szCs w:val="21"/>
              </w:rPr>
            </w:pPr>
            <w:r>
              <w:rPr>
                <w:color w:val="auto"/>
                <w:sz w:val="21"/>
                <w:szCs w:val="21"/>
              </w:rPr>
              <w:t xml:space="preserve">确保质量、环境和职业健康安全管理体系要求融入与组织的业务过程； </w:t>
            </w:r>
          </w:p>
          <w:p>
            <w:pPr>
              <w:pStyle w:val="16"/>
              <w:numPr>
                <w:ilvl w:val="0"/>
                <w:numId w:val="1"/>
              </w:numPr>
              <w:spacing w:line="440" w:lineRule="exact"/>
              <w:ind w:firstLine="6"/>
              <w:rPr>
                <w:color w:val="auto"/>
                <w:sz w:val="21"/>
                <w:szCs w:val="21"/>
              </w:rPr>
            </w:pPr>
            <w:r>
              <w:rPr>
                <w:color w:val="auto"/>
                <w:sz w:val="21"/>
                <w:szCs w:val="21"/>
              </w:rPr>
              <w:t xml:space="preserve">促进使用过程方法和基于风险的思维； </w:t>
            </w:r>
          </w:p>
          <w:p>
            <w:pPr>
              <w:pStyle w:val="16"/>
              <w:numPr>
                <w:ilvl w:val="0"/>
                <w:numId w:val="1"/>
              </w:numPr>
              <w:spacing w:line="440" w:lineRule="exact"/>
              <w:ind w:firstLine="6"/>
              <w:rPr>
                <w:color w:val="auto"/>
                <w:sz w:val="21"/>
                <w:szCs w:val="21"/>
              </w:rPr>
            </w:pPr>
            <w:r>
              <w:rPr>
                <w:color w:val="auto"/>
                <w:sz w:val="21"/>
                <w:szCs w:val="21"/>
              </w:rPr>
              <w:t xml:space="preserve">确保获得质量、环境和职业健康安全管理体系所需的资源； </w:t>
            </w:r>
          </w:p>
          <w:p>
            <w:pPr>
              <w:pStyle w:val="16"/>
              <w:numPr>
                <w:ilvl w:val="0"/>
                <w:numId w:val="1"/>
              </w:numPr>
              <w:spacing w:line="440" w:lineRule="exact"/>
              <w:ind w:firstLine="6"/>
              <w:rPr>
                <w:color w:val="auto"/>
                <w:sz w:val="21"/>
                <w:szCs w:val="21"/>
              </w:rPr>
            </w:pPr>
            <w:r>
              <w:rPr>
                <w:color w:val="auto"/>
                <w:sz w:val="21"/>
                <w:szCs w:val="21"/>
              </w:rPr>
              <w:t xml:space="preserve">沟通有效的质量管理和符合质量、环境和职业健康安全管理体系要求的重要性； </w:t>
            </w:r>
          </w:p>
          <w:p>
            <w:pPr>
              <w:pStyle w:val="16"/>
              <w:numPr>
                <w:ilvl w:val="0"/>
                <w:numId w:val="1"/>
              </w:numPr>
              <w:spacing w:line="440" w:lineRule="exact"/>
              <w:ind w:firstLine="6"/>
              <w:rPr>
                <w:color w:val="auto"/>
                <w:sz w:val="21"/>
                <w:szCs w:val="21"/>
              </w:rPr>
            </w:pPr>
            <w:r>
              <w:rPr>
                <w:color w:val="auto"/>
                <w:sz w:val="21"/>
                <w:szCs w:val="21"/>
              </w:rPr>
              <w:t xml:space="preserve">确保实现质量、环境和职业健康安全管理体系的预期结果； </w:t>
            </w:r>
          </w:p>
          <w:p>
            <w:pPr>
              <w:pStyle w:val="16"/>
              <w:numPr>
                <w:ilvl w:val="0"/>
                <w:numId w:val="1"/>
              </w:numPr>
              <w:spacing w:line="440" w:lineRule="exact"/>
              <w:ind w:firstLine="6"/>
              <w:rPr>
                <w:color w:val="auto"/>
                <w:sz w:val="21"/>
                <w:szCs w:val="21"/>
              </w:rPr>
            </w:pPr>
            <w:r>
              <w:rPr>
                <w:color w:val="auto"/>
                <w:sz w:val="21"/>
                <w:szCs w:val="21"/>
              </w:rPr>
              <w:t xml:space="preserve">促使、指导和支持员工努力提高质量、环境和职业健康安全管理体系的有效性； </w:t>
            </w:r>
          </w:p>
          <w:p>
            <w:pPr>
              <w:pStyle w:val="16"/>
              <w:numPr>
                <w:ilvl w:val="0"/>
                <w:numId w:val="1"/>
              </w:numPr>
              <w:spacing w:line="440" w:lineRule="exact"/>
              <w:ind w:firstLine="6"/>
              <w:rPr>
                <w:color w:val="auto"/>
                <w:sz w:val="21"/>
                <w:szCs w:val="21"/>
              </w:rPr>
            </w:pPr>
            <w:r>
              <w:rPr>
                <w:color w:val="auto"/>
                <w:sz w:val="21"/>
                <w:szCs w:val="21"/>
              </w:rPr>
              <w:t xml:space="preserve">推动改进； </w:t>
            </w:r>
          </w:p>
          <w:p>
            <w:pPr>
              <w:ind w:firstLine="420" w:firstLineChars="200"/>
              <w:jc w:val="left"/>
              <w:rPr>
                <w:color w:val="auto"/>
                <w:sz w:val="21"/>
                <w:szCs w:val="21"/>
              </w:rPr>
            </w:pPr>
            <w:r>
              <w:rPr>
                <w:color w:val="auto"/>
                <w:sz w:val="21"/>
                <w:szCs w:val="21"/>
              </w:rPr>
              <w:t xml:space="preserve">   </w:t>
            </w:r>
          </w:p>
          <w:p>
            <w:pPr>
              <w:ind w:firstLine="420" w:firstLineChars="200"/>
              <w:jc w:val="left"/>
              <w:rPr>
                <w:color w:val="auto"/>
                <w:sz w:val="21"/>
                <w:szCs w:val="21"/>
              </w:rPr>
            </w:pPr>
            <w:r>
              <w:rPr>
                <w:color w:val="auto"/>
                <w:sz w:val="21"/>
                <w:szCs w:val="21"/>
              </w:rPr>
              <w:t>其他高层管理者应配合</w:t>
            </w:r>
            <w:r>
              <w:rPr>
                <w:rFonts w:hint="eastAsia"/>
                <w:color w:val="auto"/>
                <w:sz w:val="21"/>
                <w:szCs w:val="21"/>
              </w:rPr>
              <w:t>总经理</w:t>
            </w:r>
            <w:r>
              <w:rPr>
                <w:color w:val="auto"/>
                <w:sz w:val="21"/>
                <w:szCs w:val="21"/>
              </w:rPr>
              <w:t>开展管理范围内的各项工作，对分管</w:t>
            </w:r>
            <w:r>
              <w:rPr>
                <w:rFonts w:hint="eastAsia"/>
                <w:color w:val="auto"/>
                <w:sz w:val="21"/>
                <w:szCs w:val="21"/>
              </w:rPr>
              <w:t>的</w:t>
            </w:r>
            <w:r>
              <w:rPr>
                <w:color w:val="auto"/>
                <w:sz w:val="21"/>
                <w:szCs w:val="21"/>
              </w:rPr>
              <w:t>部门管理体系运行的有效性负责，指导和控制分管范围的工作，不断提升管理水平。</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公司对全体员工进行了产品质量以及顾客关注焦点的宣传和培训，制定了管理文件和管理目标并按规定进行了管理评审，管理体系基本得到了落实。</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管理层通过制定方针和目标并通过会议、培训等形式要求员工理解企业的方针目标以及传达守法经营及达到顾客满意的质量意识的重要性并形成制度化，强调企业实施管理体系的重要性。</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资源提供充分并通过定期进行管理评审发现过程中存在问题并加以改进，承诺基本有效。</w:t>
            </w:r>
          </w:p>
          <w:p>
            <w:pPr>
              <w:jc w:val="left"/>
              <w:rPr>
                <w:rFonts w:ascii="宋体" w:hAnsi="宋体" w:cs="宋体"/>
                <w:bCs/>
                <w:color w:val="000000"/>
                <w:spacing w:val="10"/>
                <w:sz w:val="22"/>
                <w:szCs w:val="22"/>
              </w:rPr>
            </w:pP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宋体"/>
                <w:szCs w:val="21"/>
              </w:rPr>
            </w:pPr>
            <w:r>
              <w:rPr>
                <w:rFonts w:hint="eastAsia" w:ascii="宋体" w:hAnsi="宋体" w:cs="宋体"/>
                <w:szCs w:val="21"/>
              </w:rPr>
              <w:t>以顾客为关注焦点</w:t>
            </w:r>
          </w:p>
        </w:tc>
        <w:tc>
          <w:tcPr>
            <w:tcW w:w="1026" w:type="dxa"/>
          </w:tcPr>
          <w:p>
            <w:pPr>
              <w:rPr>
                <w:rFonts w:ascii="宋体" w:hAnsi="宋体" w:cs="宋体"/>
                <w:szCs w:val="21"/>
              </w:rPr>
            </w:pPr>
            <w:r>
              <w:rPr>
                <w:rFonts w:hint="eastAsia" w:ascii="宋体" w:hAnsi="宋体" w:cs="宋体"/>
                <w:szCs w:val="21"/>
              </w:rPr>
              <w:t>5.1.2</w:t>
            </w:r>
          </w:p>
          <w:p/>
        </w:tc>
        <w:tc>
          <w:tcPr>
            <w:tcW w:w="10429" w:type="dxa"/>
          </w:tcPr>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公司以顾客满意、环境因素、危险源为关注焦点，公司通过制度、培训、会议/文件要求确保得到全员关注：</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—公司准确识别和应对可能影响产品符合性、顾客满意度、环境因素、危险源的风险等；</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—公司确定了顾客要求、环境因素、危险源的管理要求并予以满足；</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—公司明确了相关法律法规要求，保持以稳定提供满足顾客和相关法规要求产品为焦点；</w:t>
            </w:r>
          </w:p>
          <w:p>
            <w:pPr>
              <w:ind w:firstLine="480" w:firstLineChars="200"/>
              <w:jc w:val="left"/>
              <w:rPr>
                <w:rFonts w:ascii="宋体" w:hAnsi="宋体" w:cs="宋体"/>
                <w:szCs w:val="21"/>
              </w:rPr>
            </w:pPr>
            <w:r>
              <w:rPr>
                <w:rFonts w:hint="eastAsia" w:ascii="宋体" w:hAnsi="宋体" w:cs="宋体"/>
                <w:bCs/>
                <w:color w:val="000000"/>
                <w:spacing w:val="10"/>
                <w:sz w:val="22"/>
                <w:szCs w:val="22"/>
              </w:rPr>
              <w:t>—切实达到了以增强顾客满意、实现污染、安全预防为目的。</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宋体"/>
                <w:szCs w:val="21"/>
              </w:rPr>
            </w:pPr>
            <w:r>
              <w:rPr>
                <w:rFonts w:hint="eastAsia" w:ascii="宋体" w:hAnsi="宋体" w:cs="宋体"/>
                <w:szCs w:val="21"/>
              </w:rPr>
              <w:t>质量/环境/职业健康安全方针</w:t>
            </w:r>
          </w:p>
        </w:tc>
        <w:tc>
          <w:tcPr>
            <w:tcW w:w="1026" w:type="dxa"/>
          </w:tcPr>
          <w:p>
            <w:pPr>
              <w:rPr>
                <w:rFonts w:ascii="宋体" w:hAnsi="宋体" w:cs="宋体"/>
                <w:szCs w:val="21"/>
              </w:rPr>
            </w:pPr>
            <w:r>
              <w:rPr>
                <w:rFonts w:hint="eastAsia" w:ascii="宋体" w:hAnsi="宋体" w:cs="宋体"/>
                <w:szCs w:val="21"/>
              </w:rPr>
              <w:t>5.2</w:t>
            </w:r>
          </w:p>
          <w:p>
            <w:pPr>
              <w:ind w:firstLine="420" w:firstLineChars="200"/>
              <w:rPr>
                <w:rFonts w:ascii="宋体" w:hAnsi="宋体" w:cs="宋体"/>
                <w:szCs w:val="21"/>
              </w:rPr>
            </w:pPr>
          </w:p>
        </w:tc>
        <w:tc>
          <w:tcPr>
            <w:tcW w:w="10429" w:type="dxa"/>
            <w:vAlign w:val="center"/>
          </w:tcPr>
          <w:p>
            <w:pPr>
              <w:ind w:firstLine="480" w:firstLineChars="200"/>
              <w:jc w:val="left"/>
              <w:rPr>
                <w:rFonts w:hint="eastAsia" w:ascii="Times New Roman" w:hAnsi="Times New Roman"/>
                <w:b/>
                <w:szCs w:val="21"/>
              </w:rPr>
            </w:pPr>
            <w:r>
              <w:rPr>
                <w:rFonts w:hint="eastAsia" w:ascii="宋体" w:hAnsi="宋体" w:cs="宋体"/>
                <w:bCs/>
                <w:color w:val="000000"/>
                <w:spacing w:val="10"/>
                <w:sz w:val="22"/>
                <w:szCs w:val="22"/>
              </w:rPr>
              <w:t>公司管理方针为：</w:t>
            </w:r>
            <w:r>
              <w:rPr>
                <w:rFonts w:ascii="Times New Roman" w:hAnsi="Times New Roman"/>
                <w:b/>
                <w:szCs w:val="21"/>
              </w:rPr>
              <w:t>质量第一、客户至上；倡导节约、保持清洁</w:t>
            </w:r>
            <w:r>
              <w:rPr>
                <w:rFonts w:hint="eastAsia" w:ascii="Times New Roman" w:hAnsi="Times New Roman"/>
                <w:b/>
                <w:szCs w:val="21"/>
              </w:rPr>
              <w:t>；</w:t>
            </w:r>
          </w:p>
          <w:p>
            <w:pPr>
              <w:ind w:firstLine="2319" w:firstLineChars="1100"/>
              <w:jc w:val="left"/>
              <w:rPr>
                <w:rFonts w:hint="eastAsia" w:ascii="宋体" w:hAnsi="宋体" w:eastAsia="宋体" w:cs="宋体"/>
                <w:bCs/>
                <w:color w:val="000000"/>
                <w:spacing w:val="10"/>
                <w:sz w:val="22"/>
                <w:szCs w:val="22"/>
                <w:u w:val="single"/>
                <w:lang w:val="en-US" w:eastAsia="zh-CN"/>
              </w:rPr>
            </w:pPr>
            <w:r>
              <w:rPr>
                <w:b/>
                <w:szCs w:val="21"/>
              </w:rPr>
              <w:t>安全生产、健康工作</w:t>
            </w:r>
            <w:r>
              <w:rPr>
                <w:rFonts w:hint="eastAsia"/>
                <w:b/>
                <w:szCs w:val="21"/>
              </w:rPr>
              <w:t>；</w:t>
            </w:r>
            <w:r>
              <w:rPr>
                <w:rFonts w:ascii="Times New Roman" w:hAnsi="Times New Roman"/>
                <w:b/>
                <w:szCs w:val="21"/>
              </w:rPr>
              <w:t>诚信经营，持续改</w:t>
            </w:r>
            <w:r>
              <w:rPr>
                <w:rFonts w:hint="eastAsia" w:ascii="Times New Roman" w:hAnsi="Times New Roman"/>
                <w:b/>
                <w:szCs w:val="21"/>
                <w:lang w:val="en-US" w:eastAsia="zh-CN"/>
              </w:rPr>
              <w:t>进。</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公司以质量、环境、职业健康安全标准为基础结合公司实际特制定管理方针。与公司</w:t>
            </w:r>
            <w:r>
              <w:rPr>
                <w:rFonts w:hint="eastAsia" w:ascii="宋体" w:hAnsi="宋体" w:cs="宋体"/>
                <w:bCs/>
                <w:color w:val="000000"/>
                <w:spacing w:val="10"/>
                <w:sz w:val="22"/>
                <w:szCs w:val="22"/>
                <w:lang w:eastAsia="zh-CN"/>
              </w:rPr>
              <w:t>总经理</w:t>
            </w:r>
            <w:r>
              <w:rPr>
                <w:rFonts w:hint="eastAsia" w:ascii="宋体" w:hAnsi="宋体" w:cs="宋体"/>
                <w:bCs/>
                <w:color w:val="000000"/>
                <w:spacing w:val="10"/>
                <w:sz w:val="22"/>
                <w:szCs w:val="22"/>
              </w:rPr>
              <w:t>交谈，其对方针内涵的理解较深刻。方针能为制定目标提供框架，方针基本符合标准的要求。</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总经理用会议、文件等方法确保管理方针为全体员工理解并落实到工作中，通过管理评审时对方针的持续适宜性进行了评审，有评审记录。</w:t>
            </w:r>
          </w:p>
          <w:p>
            <w:pPr>
              <w:ind w:firstLine="480" w:firstLineChars="200"/>
              <w:jc w:val="left"/>
              <w:rPr>
                <w:rFonts w:ascii="宋体" w:hAnsi="宋体" w:cs="宋体"/>
                <w:szCs w:val="21"/>
              </w:rPr>
            </w:pPr>
            <w:r>
              <w:rPr>
                <w:rFonts w:hint="eastAsia" w:ascii="宋体" w:hAnsi="宋体" w:cs="宋体"/>
                <w:bCs/>
                <w:color w:val="000000"/>
                <w:spacing w:val="10"/>
                <w:sz w:val="22"/>
                <w:szCs w:val="22"/>
              </w:rPr>
              <w:t>以上管理方针通过文件、培训等形式将公司管理方针传达给所有为公司工作或代表公司的人员，相关方也可通过相关部门获取公司管理方针。</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组织的岗位、职责和权限</w:t>
            </w:r>
          </w:p>
          <w:p>
            <w:pPr>
              <w:ind w:firstLine="420" w:firstLineChars="200"/>
              <w:jc w:val="left"/>
            </w:pPr>
          </w:p>
        </w:tc>
        <w:tc>
          <w:tcPr>
            <w:tcW w:w="1026" w:type="dxa"/>
          </w:tcPr>
          <w:p>
            <w:pPr>
              <w:rPr>
                <w:rFonts w:ascii="宋体" w:hAnsi="宋体" w:cs="宋体"/>
                <w:szCs w:val="21"/>
              </w:rPr>
            </w:pPr>
            <w:r>
              <w:rPr>
                <w:rFonts w:hint="eastAsia" w:ascii="宋体" w:hAnsi="宋体" w:cs="宋体"/>
                <w:szCs w:val="21"/>
              </w:rPr>
              <w:t xml:space="preserve">5.3 </w:t>
            </w:r>
          </w:p>
        </w:tc>
        <w:tc>
          <w:tcPr>
            <w:tcW w:w="10429" w:type="dxa"/>
            <w:vAlign w:val="center"/>
          </w:tcPr>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公司确定组织机构并提供组织机构图，规定了各部门、各岗位人员职责、权限和相互关系；</w:t>
            </w:r>
          </w:p>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为建立、实施和保持公司管理体系所需的过程，公司任命</w:t>
            </w:r>
            <w:r>
              <w:rPr>
                <w:rFonts w:hint="eastAsia" w:ascii="宋体" w:hAnsi="宋体" w:cs="宋体"/>
                <w:bCs/>
                <w:color w:val="000000"/>
                <w:spacing w:val="10"/>
                <w:sz w:val="22"/>
                <w:szCs w:val="22"/>
                <w:lang w:eastAsia="zh-CN"/>
              </w:rPr>
              <w:t>吴思瑜</w:t>
            </w:r>
            <w:r>
              <w:rPr>
                <w:rFonts w:hint="eastAsia" w:ascii="宋体" w:hAnsi="宋体" w:cs="宋体"/>
                <w:bCs/>
                <w:color w:val="000000"/>
                <w:spacing w:val="10"/>
                <w:sz w:val="22"/>
                <w:szCs w:val="22"/>
              </w:rPr>
              <w:t>为管理体系的管理者代表，推选</w:t>
            </w:r>
            <w:r>
              <w:rPr>
                <w:rFonts w:hint="eastAsia" w:ascii="宋体" w:hAnsi="宋体" w:cs="宋体"/>
                <w:bCs/>
                <w:color w:val="000000"/>
                <w:spacing w:val="10"/>
                <w:sz w:val="22"/>
                <w:szCs w:val="22"/>
                <w:lang w:eastAsia="zh-CN"/>
              </w:rPr>
              <w:t>张济斌</w:t>
            </w:r>
            <w:r>
              <w:rPr>
                <w:rFonts w:hint="eastAsia" w:ascii="宋体" w:hAnsi="宋体" w:cs="宋体"/>
                <w:bCs/>
                <w:color w:val="000000"/>
                <w:spacing w:val="10"/>
                <w:sz w:val="22"/>
                <w:szCs w:val="22"/>
              </w:rPr>
              <w:t>为安全事务代表。</w:t>
            </w:r>
          </w:p>
          <w:p>
            <w:pPr>
              <w:ind w:left="525"/>
              <w:rPr>
                <w:rFonts w:hint="eastAsia" w:ascii="宋体" w:hAnsi="宋体" w:cs="宋体"/>
                <w:bCs/>
                <w:color w:val="000000"/>
                <w:spacing w:val="10"/>
                <w:sz w:val="22"/>
                <w:szCs w:val="22"/>
              </w:rPr>
            </w:pPr>
            <w:r>
              <w:rPr>
                <w:rFonts w:hint="eastAsia" w:ascii="宋体" w:hAnsi="宋体" w:cs="宋体"/>
                <w:bCs/>
                <w:color w:val="000000"/>
                <w:spacing w:val="10"/>
                <w:sz w:val="22"/>
                <w:szCs w:val="22"/>
              </w:rPr>
              <w:t>与管代交流明确其职责和权限：</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建立、实施、保持、不断完善和持续改进公司建立的质量、环境和职业健康安全管理体系；并负责程序文件的审批。</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分配各职能部门的质量、环境和职业健康安全管理职能。</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全面负责公司质量、环境和职业健康安全管理工作，定期对质量、环境和职业健康安全管理目标进行考核，确保质量、环境和职业健康安全目标的实现。</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向最高管理者报告公司质量、环境和职业健康安全管理体系业绩，包括业绩改进的需求，以便评审和作为公司质量、环境和职业健康安全管理体系改进的基础</w:t>
            </w:r>
            <w:r>
              <w:rPr>
                <w:rFonts w:ascii="Times New Roman" w:hAnsi="Times New Roman"/>
                <w:spacing w:val="-8"/>
                <w:szCs w:val="21"/>
              </w:rPr>
              <w:t>。</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负责纠正和预防措施的实施及有效性的验证工作。</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负责组织实施内部质量管理体系审核，并对纠正和预防措施的实施和监督负责。</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负责本公司质量、环境和职业健康安全体系有关事宜与外部各方的联络工作。</w:t>
            </w:r>
          </w:p>
          <w:p>
            <w:pPr>
              <w:numPr>
                <w:ilvl w:val="0"/>
                <w:numId w:val="2"/>
              </w:numPr>
              <w:tabs>
                <w:tab w:val="left" w:pos="630"/>
                <w:tab w:val="clear" w:pos="1904"/>
              </w:tabs>
              <w:spacing w:line="400" w:lineRule="exact"/>
              <w:ind w:left="0" w:firstLine="426"/>
              <w:rPr>
                <w:rFonts w:ascii="宋体" w:hAnsi="宋体" w:cs="宋体"/>
                <w:szCs w:val="21"/>
              </w:rPr>
            </w:pPr>
            <w:r>
              <w:rPr>
                <w:rFonts w:ascii="Times New Roman" w:hAnsi="Times New Roman"/>
                <w:szCs w:val="21"/>
              </w:rPr>
              <w:t>负责监督各生产车间的现场管理的实施情况，创造安全的生产环境，做到安全生产，文明生产。</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协商与参与</w:t>
            </w:r>
          </w:p>
          <w:p>
            <w:pPr>
              <w:ind w:firstLine="420" w:firstLineChars="200"/>
              <w:jc w:val="left"/>
            </w:pPr>
          </w:p>
        </w:tc>
        <w:tc>
          <w:tcPr>
            <w:tcW w:w="1026" w:type="dxa"/>
          </w:tcPr>
          <w:p>
            <w:pPr>
              <w:jc w:val="left"/>
              <w:rPr>
                <w:rFonts w:ascii="宋体" w:hAnsi="宋体" w:cs="宋体"/>
                <w:szCs w:val="21"/>
              </w:rPr>
            </w:pPr>
            <w:r>
              <w:rPr>
                <w:rFonts w:hint="eastAsia" w:ascii="宋体" w:hAnsi="宋体" w:cs="宋体"/>
                <w:szCs w:val="21"/>
              </w:rPr>
              <w:t xml:space="preserve">O 5.4 </w:t>
            </w:r>
          </w:p>
          <w:p>
            <w:pPr>
              <w:ind w:firstLine="420" w:firstLineChars="200"/>
              <w:jc w:val="left"/>
            </w:pPr>
          </w:p>
        </w:tc>
        <w:tc>
          <w:tcPr>
            <w:tcW w:w="10429" w:type="dxa"/>
          </w:tcPr>
          <w:p>
            <w:pPr>
              <w:pStyle w:val="16"/>
              <w:spacing w:line="440" w:lineRule="exact"/>
              <w:ind w:left="426"/>
              <w:rPr>
                <w:rFonts w:hint="eastAsia"/>
                <w:color w:val="auto"/>
                <w:sz w:val="21"/>
                <w:szCs w:val="21"/>
              </w:rPr>
            </w:pPr>
            <w:r>
              <w:rPr>
                <w:rFonts w:hint="eastAsia"/>
                <w:color w:val="auto"/>
                <w:sz w:val="21"/>
                <w:szCs w:val="21"/>
              </w:rPr>
              <w:t>公司设立了安全事务代表，提供时间、培训、人力财力物力等资源，及时提供渠道，以获取清晰的、可理解</w:t>
            </w:r>
          </w:p>
          <w:p>
            <w:pPr>
              <w:pStyle w:val="16"/>
              <w:spacing w:line="440" w:lineRule="exact"/>
              <w:rPr>
                <w:rFonts w:hint="eastAsia"/>
                <w:color w:val="auto"/>
                <w:sz w:val="21"/>
                <w:szCs w:val="21"/>
              </w:rPr>
            </w:pPr>
            <w:r>
              <w:rPr>
                <w:rFonts w:hint="eastAsia"/>
                <w:color w:val="auto"/>
                <w:sz w:val="21"/>
                <w:szCs w:val="21"/>
              </w:rPr>
              <w:t>的和相关的职业健康安全信息。考虑了确定和消除妨碍参与的障碍或壁垒，并尽可能减少。明确了与非管理类工作人员的协商和参与内容。</w:t>
            </w:r>
          </w:p>
          <w:p>
            <w:pPr>
              <w:pStyle w:val="16"/>
              <w:spacing w:line="440" w:lineRule="exact"/>
              <w:ind w:left="426"/>
              <w:rPr>
                <w:rFonts w:hint="eastAsia" w:ascii="宋体" w:hAnsi="宋体" w:cs="宋体"/>
                <w:bCs/>
                <w:color w:val="000000"/>
                <w:spacing w:val="10"/>
                <w:sz w:val="22"/>
                <w:szCs w:val="22"/>
              </w:rPr>
            </w:pPr>
            <w:r>
              <w:rPr>
                <w:rFonts w:hint="eastAsia"/>
                <w:color w:val="auto"/>
                <w:sz w:val="21"/>
                <w:szCs w:val="21"/>
              </w:rPr>
              <w:t>公司安全事务代表须经公司各部门会议选举，并正式公告</w:t>
            </w:r>
            <w:r>
              <w:rPr>
                <w:rFonts w:hint="eastAsia"/>
                <w:color w:val="auto"/>
                <w:sz w:val="21"/>
                <w:szCs w:val="21"/>
                <w:lang w:eastAsia="zh-CN"/>
              </w:rPr>
              <w:t>，</w:t>
            </w:r>
            <w:r>
              <w:rPr>
                <w:rFonts w:hint="eastAsia" w:ascii="宋体" w:hAnsi="宋体" w:cs="宋体"/>
                <w:bCs/>
                <w:color w:val="000000"/>
                <w:spacing w:val="10"/>
                <w:sz w:val="22"/>
                <w:szCs w:val="22"/>
              </w:rPr>
              <w:t>与安全事务代表交流</w:t>
            </w:r>
            <w:r>
              <w:rPr>
                <w:rFonts w:hint="eastAsia" w:ascii="宋体" w:hAnsi="宋体" w:cs="宋体"/>
                <w:bCs/>
                <w:color w:val="000000"/>
                <w:spacing w:val="10"/>
                <w:sz w:val="22"/>
                <w:szCs w:val="22"/>
                <w:lang w:val="en-US" w:eastAsia="zh-CN"/>
              </w:rPr>
              <w:t>明确</w:t>
            </w:r>
            <w:r>
              <w:rPr>
                <w:rFonts w:hint="eastAsia" w:ascii="宋体" w:hAnsi="宋体" w:cs="宋体"/>
                <w:bCs/>
                <w:color w:val="000000"/>
                <w:spacing w:val="10"/>
                <w:sz w:val="22"/>
                <w:szCs w:val="22"/>
              </w:rPr>
              <w:t>职责和权限：</w:t>
            </w:r>
          </w:p>
          <w:p>
            <w:pPr>
              <w:pStyle w:val="16"/>
              <w:spacing w:line="440" w:lineRule="exact"/>
              <w:ind w:left="426"/>
              <w:rPr>
                <w:rFonts w:hint="eastAsia"/>
                <w:color w:val="auto"/>
                <w:sz w:val="21"/>
                <w:szCs w:val="21"/>
              </w:rPr>
            </w:pPr>
            <w:r>
              <w:rPr>
                <w:rFonts w:hint="eastAsia" w:ascii="宋体" w:hAnsi="宋体" w:cs="宋体"/>
                <w:bCs/>
                <w:color w:val="000000"/>
                <w:spacing w:val="10"/>
                <w:sz w:val="22"/>
                <w:szCs w:val="22"/>
                <w:lang w:val="en-US" w:eastAsia="zh-CN"/>
              </w:rPr>
              <w:t>1</w:t>
            </w:r>
            <w:r>
              <w:rPr>
                <w:rFonts w:hint="eastAsia"/>
                <w:color w:val="auto"/>
                <w:sz w:val="21"/>
                <w:szCs w:val="21"/>
              </w:rPr>
              <w:t>)   对全体员工负责，直接向管理者代表或总经理反映职业健康运行的情况，反映员工的意见；</w:t>
            </w:r>
          </w:p>
          <w:p>
            <w:pPr>
              <w:pStyle w:val="16"/>
              <w:spacing w:line="440" w:lineRule="exact"/>
              <w:ind w:left="426"/>
              <w:rPr>
                <w:rFonts w:hint="eastAsia"/>
                <w:color w:val="auto"/>
                <w:sz w:val="21"/>
                <w:szCs w:val="21"/>
              </w:rPr>
            </w:pPr>
            <w:r>
              <w:rPr>
                <w:rFonts w:hint="eastAsia"/>
                <w:color w:val="auto"/>
                <w:sz w:val="21"/>
                <w:szCs w:val="21"/>
                <w:lang w:val="en-US" w:eastAsia="zh-CN"/>
              </w:rPr>
              <w:t>2</w:t>
            </w:r>
            <w:r>
              <w:rPr>
                <w:rFonts w:hint="eastAsia"/>
                <w:color w:val="auto"/>
                <w:sz w:val="21"/>
                <w:szCs w:val="21"/>
              </w:rPr>
              <w:t>)   适当参与危险源辩识、风险评价和控制措施的确定；适当参与事件调查；</w:t>
            </w:r>
          </w:p>
          <w:p>
            <w:pPr>
              <w:pStyle w:val="16"/>
              <w:spacing w:line="440" w:lineRule="exact"/>
              <w:ind w:left="426"/>
              <w:rPr>
                <w:rFonts w:hint="eastAsia"/>
                <w:color w:val="auto"/>
                <w:sz w:val="21"/>
                <w:szCs w:val="21"/>
              </w:rPr>
            </w:pPr>
            <w:r>
              <w:rPr>
                <w:rFonts w:hint="eastAsia"/>
                <w:color w:val="auto"/>
                <w:sz w:val="21"/>
                <w:szCs w:val="21"/>
                <w:lang w:val="en-US" w:eastAsia="zh-CN"/>
              </w:rPr>
              <w:t>3</w:t>
            </w:r>
            <w:r>
              <w:rPr>
                <w:rFonts w:hint="eastAsia"/>
                <w:color w:val="auto"/>
                <w:sz w:val="21"/>
                <w:szCs w:val="21"/>
              </w:rPr>
              <w:t>)   参与环境和职业健康安全方针和目标的制定和评审；</w:t>
            </w:r>
          </w:p>
          <w:p>
            <w:pPr>
              <w:pStyle w:val="16"/>
              <w:spacing w:line="440" w:lineRule="exact"/>
              <w:ind w:left="426"/>
              <w:rPr>
                <w:rFonts w:hint="eastAsia"/>
                <w:color w:val="auto"/>
                <w:sz w:val="21"/>
                <w:szCs w:val="21"/>
              </w:rPr>
            </w:pPr>
            <w:r>
              <w:rPr>
                <w:rFonts w:hint="eastAsia"/>
                <w:color w:val="auto"/>
                <w:sz w:val="21"/>
                <w:szCs w:val="21"/>
                <w:lang w:val="en-US" w:eastAsia="zh-CN"/>
              </w:rPr>
              <w:t>4</w:t>
            </w:r>
            <w:r>
              <w:rPr>
                <w:rFonts w:hint="eastAsia"/>
                <w:color w:val="auto"/>
                <w:sz w:val="21"/>
                <w:szCs w:val="21"/>
              </w:rPr>
              <w:t>)   对影响员工环境和职业健康安全的任何变更进行协商；对环境和职业健康安全事务发表意见；</w:t>
            </w:r>
          </w:p>
          <w:p>
            <w:pPr>
              <w:pStyle w:val="16"/>
              <w:spacing w:line="440" w:lineRule="exact"/>
              <w:ind w:left="426"/>
            </w:pPr>
            <w:r>
              <w:rPr>
                <w:rFonts w:hint="eastAsia"/>
                <w:color w:val="auto"/>
                <w:sz w:val="21"/>
                <w:szCs w:val="21"/>
                <w:lang w:val="en-US" w:eastAsia="zh-CN"/>
              </w:rPr>
              <w:t>5</w:t>
            </w:r>
            <w:r>
              <w:rPr>
                <w:rFonts w:hint="eastAsia"/>
                <w:color w:val="auto"/>
                <w:sz w:val="21"/>
                <w:szCs w:val="21"/>
              </w:rPr>
              <w:t>)   了解员工及相关方对健康安全的满意度，及时沟通并提出有关建议</w:t>
            </w:r>
            <w:r>
              <w:rPr>
                <w:rFonts w:hint="eastAsia" w:ascii="宋体" w:hAnsi="宋体" w:cs="宋体"/>
                <w:bCs/>
                <w:color w:val="000000"/>
                <w:spacing w:val="10"/>
                <w:sz w:val="22"/>
                <w:szCs w:val="22"/>
              </w:rPr>
              <w:t>。</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应对风险和机遇的措施</w:t>
            </w:r>
          </w:p>
          <w:p>
            <w:pPr>
              <w:jc w:val="left"/>
            </w:pPr>
          </w:p>
        </w:tc>
        <w:tc>
          <w:tcPr>
            <w:tcW w:w="1026" w:type="dxa"/>
          </w:tcPr>
          <w:p>
            <w:pPr>
              <w:jc w:val="left"/>
              <w:rPr>
                <w:rFonts w:ascii="宋体" w:hAnsi="宋体" w:cs="宋体"/>
                <w:szCs w:val="21"/>
              </w:rPr>
            </w:pPr>
            <w:r>
              <w:rPr>
                <w:rFonts w:hint="eastAsia" w:ascii="宋体" w:hAnsi="宋体" w:cs="宋体"/>
                <w:szCs w:val="21"/>
              </w:rPr>
              <w:t>6.1</w:t>
            </w:r>
          </w:p>
          <w:p>
            <w:pPr>
              <w:jc w:val="left"/>
            </w:pPr>
          </w:p>
        </w:tc>
        <w:tc>
          <w:tcPr>
            <w:tcW w:w="10429" w:type="dxa"/>
            <w:vAlign w:val="center"/>
          </w:tcPr>
          <w:p>
            <w:pPr>
              <w:pStyle w:val="16"/>
              <w:spacing w:line="440" w:lineRule="exact"/>
              <w:ind w:left="426"/>
              <w:rPr>
                <w:rFonts w:hint="eastAsia"/>
                <w:color w:val="auto"/>
                <w:sz w:val="21"/>
                <w:szCs w:val="21"/>
                <w:lang w:eastAsia="zh-CN"/>
              </w:rPr>
            </w:pPr>
            <w:r>
              <w:rPr>
                <w:rFonts w:hint="eastAsia"/>
                <w:color w:val="auto"/>
                <w:sz w:val="21"/>
                <w:szCs w:val="21"/>
              </w:rPr>
              <w:t>公司制定并实施《风险和机遇控制程序》，明确风险和机遇事件的识别方法/途径、风险和机遇事件的评估方式、制定主要风险和机遇事件的应对措施的要求、评价这些措施有效性的方法</w:t>
            </w:r>
            <w:r>
              <w:rPr>
                <w:rFonts w:hint="eastAsia"/>
                <w:color w:val="auto"/>
                <w:sz w:val="21"/>
                <w:szCs w:val="21"/>
                <w:lang w:eastAsia="zh-CN"/>
              </w:rPr>
              <w:t>，</w:t>
            </w:r>
            <w:r>
              <w:rPr>
                <w:rFonts w:hint="eastAsia"/>
                <w:color w:val="auto"/>
                <w:sz w:val="21"/>
                <w:szCs w:val="21"/>
                <w:lang w:val="en-US" w:eastAsia="zh-CN"/>
              </w:rPr>
              <w:t>并形成</w:t>
            </w:r>
            <w:r>
              <w:rPr>
                <w:rFonts w:hint="eastAsia"/>
                <w:color w:val="auto"/>
                <w:sz w:val="21"/>
                <w:szCs w:val="21"/>
              </w:rPr>
              <w:t>风险和机遇评估分析表</w:t>
            </w:r>
            <w:r>
              <w:rPr>
                <w:rFonts w:hint="eastAsia"/>
                <w:color w:val="auto"/>
                <w:sz w:val="21"/>
                <w:szCs w:val="21"/>
                <w:lang w:eastAsia="zh-CN"/>
              </w:rPr>
              <w:t>。</w:t>
            </w:r>
          </w:p>
          <w:p>
            <w:pPr>
              <w:pStyle w:val="16"/>
              <w:spacing w:line="440" w:lineRule="exact"/>
              <w:ind w:left="426"/>
              <w:rPr>
                <w:color w:val="auto"/>
                <w:sz w:val="21"/>
                <w:szCs w:val="21"/>
              </w:rPr>
            </w:pPr>
            <w:r>
              <w:rPr>
                <w:color w:val="auto"/>
                <w:sz w:val="21"/>
                <w:szCs w:val="21"/>
              </w:rPr>
              <w:t>各部门应确保将这些措施融入公司的日常业务过程中，并保留实施的证据</w:t>
            </w:r>
            <w:r>
              <w:rPr>
                <w:rFonts w:hint="eastAsia"/>
                <w:color w:val="auto"/>
                <w:sz w:val="21"/>
                <w:szCs w:val="21"/>
                <w:lang w:eastAsia="zh-CN"/>
              </w:rPr>
              <w:t>，</w:t>
            </w:r>
            <w:r>
              <w:rPr>
                <w:color w:val="auto"/>
                <w:sz w:val="21"/>
                <w:szCs w:val="21"/>
              </w:rPr>
              <w:t>确保质量、环境和职业健康安全</w:t>
            </w:r>
          </w:p>
          <w:p>
            <w:pPr>
              <w:pStyle w:val="16"/>
              <w:spacing w:line="440" w:lineRule="exact"/>
              <w:rPr>
                <w:color w:val="auto"/>
                <w:sz w:val="21"/>
                <w:szCs w:val="21"/>
              </w:rPr>
            </w:pPr>
            <w:r>
              <w:rPr>
                <w:color w:val="auto"/>
                <w:sz w:val="21"/>
                <w:szCs w:val="21"/>
              </w:rPr>
              <w:t>管理体系分范围和能够实现其预期结果； 增强有利影响，</w:t>
            </w:r>
            <w:r>
              <w:rPr>
                <w:sz w:val="21"/>
                <w:szCs w:val="21"/>
              </w:rPr>
              <w:t>预防或减少不期望的结果，包括影响组织的潜在的外部环境状况；</w:t>
            </w:r>
            <w:r>
              <w:rPr>
                <w:color w:val="auto"/>
                <w:sz w:val="21"/>
                <w:szCs w:val="21"/>
              </w:rPr>
              <w:t xml:space="preserve">环境和职业健康的合规性义务；实现改进。 </w:t>
            </w:r>
          </w:p>
          <w:p>
            <w:pPr>
              <w:ind w:firstLine="210" w:firstLineChars="100"/>
              <w:jc w:val="left"/>
            </w:pPr>
            <w:r>
              <w:rPr>
                <w:rFonts w:hint="eastAsia"/>
              </w:rPr>
              <w:t xml:space="preserve">  </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pPr>
            <w:r>
              <w:rPr>
                <w:rFonts w:hint="eastAsia" w:ascii="宋体" w:hAnsi="宋体" w:cs="宋体"/>
                <w:szCs w:val="21"/>
              </w:rPr>
              <w:t>质量/环境/职业健康安全目标及其实现的策划</w:t>
            </w:r>
          </w:p>
        </w:tc>
        <w:tc>
          <w:tcPr>
            <w:tcW w:w="1026" w:type="dxa"/>
          </w:tcPr>
          <w:p>
            <w:pPr>
              <w:jc w:val="left"/>
            </w:pPr>
            <w:r>
              <w:rPr>
                <w:rFonts w:hint="eastAsia" w:ascii="宋体" w:hAnsi="宋体" w:cs="宋体"/>
                <w:szCs w:val="21"/>
              </w:rPr>
              <w:t>6.2</w:t>
            </w:r>
          </w:p>
        </w:tc>
        <w:tc>
          <w:tcPr>
            <w:tcW w:w="10429" w:type="dxa"/>
            <w:vAlign w:val="center"/>
          </w:tcPr>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提供公司质量、环境和职业健康安全目标、质量分解目标，环境、职业健康安全目标、指标和管理方案。</w:t>
            </w:r>
          </w:p>
          <w:p>
            <w:pPr>
              <w:pStyle w:val="8"/>
              <w:spacing w:before="0" w:after="0" w:line="240" w:lineRule="auto"/>
              <w:ind w:firstLine="482" w:firstLineChars="200"/>
              <w:jc w:val="left"/>
              <w:rPr>
                <w:rFonts w:ascii="Times New Roman" w:hAnsi="Times New Roman"/>
                <w:sz w:val="24"/>
                <w:szCs w:val="24"/>
              </w:rPr>
            </w:pPr>
            <w:bookmarkStart w:id="5" w:name="_Toc45607695"/>
            <w:bookmarkStart w:id="6" w:name="_Toc477950707"/>
            <w:r>
              <w:rPr>
                <w:rFonts w:ascii="Times New Roman" w:hAnsi="Times New Roman"/>
                <w:sz w:val="24"/>
                <w:szCs w:val="24"/>
              </w:rPr>
              <w:t>质量目标</w:t>
            </w:r>
            <w:bookmarkEnd w:id="5"/>
            <w:bookmarkEnd w:id="6"/>
          </w:p>
          <w:p>
            <w:pPr>
              <w:numPr>
                <w:ilvl w:val="0"/>
                <w:numId w:val="3"/>
              </w:numPr>
              <w:spacing w:line="400" w:lineRule="exact"/>
              <w:ind w:left="845" w:leftChars="0" w:hanging="425" w:firstLineChars="0"/>
              <w:rPr>
                <w:rFonts w:hint="eastAsia" w:ascii="Times New Roman" w:hAnsi="Times New Roman"/>
                <w:bCs/>
                <w:szCs w:val="21"/>
              </w:rPr>
            </w:pPr>
            <w:r>
              <w:rPr>
                <w:rFonts w:hint="eastAsia" w:ascii="Times New Roman" w:hAnsi="Times New Roman"/>
                <w:bCs/>
                <w:szCs w:val="21"/>
              </w:rPr>
              <w:t>产品交付</w:t>
            </w:r>
            <w:r>
              <w:rPr>
                <w:rFonts w:ascii="Times New Roman" w:hAnsi="Times New Roman"/>
                <w:bCs/>
                <w:szCs w:val="21"/>
              </w:rPr>
              <w:t>合格率</w:t>
            </w:r>
            <w:r>
              <w:rPr>
                <w:rFonts w:hint="eastAsia" w:ascii="Times New Roman" w:hAnsi="Times New Roman"/>
                <w:bCs/>
                <w:szCs w:val="21"/>
              </w:rPr>
              <w:t>100</w:t>
            </w:r>
            <w:r>
              <w:rPr>
                <w:rFonts w:ascii="Times New Roman" w:hAnsi="Times New Roman"/>
                <w:bCs/>
                <w:szCs w:val="21"/>
              </w:rPr>
              <w:t>%</w:t>
            </w:r>
            <w:r>
              <w:rPr>
                <w:rFonts w:hint="eastAsia" w:ascii="Times New Roman" w:hAnsi="Times New Roman"/>
                <w:bCs/>
                <w:szCs w:val="21"/>
              </w:rPr>
              <w:t>；</w:t>
            </w:r>
          </w:p>
          <w:p>
            <w:pPr>
              <w:numPr>
                <w:ilvl w:val="0"/>
                <w:numId w:val="3"/>
              </w:numPr>
              <w:spacing w:line="400" w:lineRule="exact"/>
              <w:ind w:left="845" w:leftChars="0" w:hanging="425" w:firstLineChars="0"/>
              <w:rPr>
                <w:rFonts w:hint="eastAsia" w:ascii="Times New Roman" w:hAnsi="Times New Roman"/>
                <w:bCs/>
                <w:szCs w:val="21"/>
              </w:rPr>
            </w:pPr>
            <w:r>
              <w:rPr>
                <w:rFonts w:ascii="Times New Roman" w:hAnsi="Times New Roman"/>
                <w:bCs/>
                <w:szCs w:val="21"/>
              </w:rPr>
              <w:t>顾客满意度≥90</w:t>
            </w:r>
            <w:r>
              <w:rPr>
                <w:rFonts w:hint="eastAsia" w:ascii="Times New Roman" w:hAnsi="Times New Roman"/>
                <w:bCs/>
                <w:szCs w:val="21"/>
              </w:rPr>
              <w:t>分；</w:t>
            </w:r>
          </w:p>
          <w:p>
            <w:pPr>
              <w:numPr>
                <w:ilvl w:val="0"/>
                <w:numId w:val="3"/>
              </w:numPr>
              <w:spacing w:line="400" w:lineRule="exact"/>
              <w:ind w:left="845" w:leftChars="0" w:hanging="425" w:firstLineChars="0"/>
              <w:rPr>
                <w:rFonts w:ascii="Times New Roman" w:hAnsi="Times New Roman"/>
                <w:bCs/>
                <w:szCs w:val="21"/>
              </w:rPr>
            </w:pPr>
            <w:r>
              <w:rPr>
                <w:rFonts w:hint="eastAsia" w:ascii="Times New Roman" w:hAnsi="Times New Roman"/>
                <w:bCs/>
                <w:szCs w:val="21"/>
              </w:rPr>
              <w:t>合同评审率100%。</w:t>
            </w:r>
          </w:p>
          <w:p>
            <w:pPr>
              <w:pStyle w:val="8"/>
              <w:spacing w:before="0" w:after="0" w:line="240" w:lineRule="auto"/>
              <w:ind w:firstLine="482" w:firstLineChars="200"/>
              <w:jc w:val="left"/>
              <w:rPr>
                <w:rFonts w:ascii="Times New Roman" w:hAnsi="Times New Roman"/>
                <w:sz w:val="24"/>
                <w:szCs w:val="24"/>
              </w:rPr>
            </w:pPr>
            <w:bookmarkStart w:id="7" w:name="_Toc45607696"/>
            <w:r>
              <w:rPr>
                <w:rFonts w:ascii="Times New Roman" w:hAnsi="Times New Roman"/>
                <w:sz w:val="24"/>
                <w:szCs w:val="24"/>
              </w:rPr>
              <w:t>环境目标、指标</w:t>
            </w:r>
            <w:bookmarkEnd w:id="7"/>
          </w:p>
          <w:p>
            <w:pPr>
              <w:numPr>
                <w:ilvl w:val="0"/>
                <w:numId w:val="4"/>
              </w:numPr>
              <w:spacing w:line="400" w:lineRule="exact"/>
              <w:ind w:left="845" w:leftChars="0" w:hanging="425" w:firstLineChars="0"/>
              <w:rPr>
                <w:rFonts w:hint="eastAsia" w:ascii="Times New Roman" w:hAnsi="Times New Roman"/>
                <w:szCs w:val="21"/>
              </w:rPr>
            </w:pPr>
            <w:r>
              <w:rPr>
                <w:rFonts w:hint="eastAsia" w:ascii="Times New Roman" w:hAnsi="Times New Roman"/>
                <w:szCs w:val="21"/>
              </w:rPr>
              <w:t>大气污染物排放符合排放标准的规定；</w:t>
            </w:r>
          </w:p>
          <w:p>
            <w:pPr>
              <w:numPr>
                <w:ilvl w:val="0"/>
                <w:numId w:val="4"/>
              </w:numPr>
              <w:spacing w:line="400" w:lineRule="exact"/>
              <w:ind w:left="845" w:leftChars="0" w:hanging="425" w:firstLineChars="0"/>
              <w:rPr>
                <w:rFonts w:ascii="Times New Roman" w:hAnsi="Times New Roman"/>
                <w:szCs w:val="21"/>
              </w:rPr>
            </w:pPr>
            <w:r>
              <w:rPr>
                <w:rFonts w:ascii="Times New Roman" w:hAnsi="Times New Roman"/>
                <w:szCs w:val="21"/>
              </w:rPr>
              <w:t>固体</w:t>
            </w:r>
            <w:r>
              <w:rPr>
                <w:rFonts w:hint="eastAsia" w:ascii="Times New Roman" w:hAnsi="Times New Roman"/>
                <w:szCs w:val="21"/>
              </w:rPr>
              <w:t>危</w:t>
            </w:r>
            <w:r>
              <w:rPr>
                <w:rFonts w:ascii="Times New Roman" w:hAnsi="Times New Roman"/>
                <w:szCs w:val="21"/>
              </w:rPr>
              <w:t>废分类管理</w:t>
            </w:r>
            <w:r>
              <w:rPr>
                <w:rFonts w:hint="eastAsia" w:ascii="Times New Roman" w:hAnsi="Times New Roman"/>
                <w:szCs w:val="21"/>
              </w:rPr>
              <w:t>，</w:t>
            </w:r>
            <w:r>
              <w:rPr>
                <w:rFonts w:ascii="Times New Roman" w:hAnsi="Times New Roman"/>
                <w:szCs w:val="21"/>
              </w:rPr>
              <w:t>无污染事故发生；</w:t>
            </w:r>
          </w:p>
          <w:p>
            <w:pPr>
              <w:numPr>
                <w:ilvl w:val="0"/>
                <w:numId w:val="4"/>
              </w:numPr>
              <w:spacing w:line="400" w:lineRule="exact"/>
              <w:ind w:left="845" w:leftChars="0" w:hanging="425" w:firstLineChars="0"/>
              <w:rPr>
                <w:rFonts w:ascii="Times New Roman" w:hAnsi="Times New Roman"/>
                <w:sz w:val="24"/>
                <w:szCs w:val="24"/>
              </w:rPr>
            </w:pPr>
            <w:r>
              <w:rPr>
                <w:rFonts w:ascii="Times New Roman" w:hAnsi="Times New Roman"/>
                <w:szCs w:val="21"/>
              </w:rPr>
              <w:t>火灾事故为零。</w:t>
            </w:r>
          </w:p>
          <w:p>
            <w:pPr>
              <w:pStyle w:val="8"/>
              <w:spacing w:before="0" w:after="0" w:line="240" w:lineRule="auto"/>
              <w:ind w:firstLine="482" w:firstLineChars="200"/>
              <w:jc w:val="left"/>
              <w:rPr>
                <w:rFonts w:ascii="Times New Roman" w:hAnsi="Times New Roman"/>
                <w:sz w:val="24"/>
                <w:szCs w:val="24"/>
              </w:rPr>
            </w:pPr>
            <w:bookmarkStart w:id="8" w:name="_Toc45607697"/>
            <w:r>
              <w:rPr>
                <w:rFonts w:ascii="Times New Roman" w:hAnsi="Times New Roman"/>
                <w:sz w:val="24"/>
                <w:szCs w:val="24"/>
              </w:rPr>
              <w:t>职业健康安全目标</w:t>
            </w:r>
            <w:bookmarkEnd w:id="8"/>
          </w:p>
          <w:p>
            <w:pPr>
              <w:spacing w:line="360" w:lineRule="exact"/>
              <w:ind w:firstLine="420" w:firstLineChars="200"/>
              <w:rPr>
                <w:rFonts w:ascii="Times New Roman" w:hAnsi="Times New Roman"/>
                <w:szCs w:val="21"/>
              </w:rPr>
            </w:pPr>
            <w:r>
              <w:rPr>
                <w:rFonts w:ascii="Times New Roman" w:hAnsi="Times New Roman"/>
                <w:szCs w:val="21"/>
              </w:rPr>
              <w:t>1、全年安全生产无事故</w:t>
            </w:r>
          </w:p>
          <w:p>
            <w:pPr>
              <w:spacing w:line="360" w:lineRule="exact"/>
              <w:ind w:firstLine="420" w:firstLineChars="200"/>
              <w:rPr>
                <w:rFonts w:ascii="Times New Roman" w:hAnsi="Times New Roman"/>
                <w:szCs w:val="21"/>
              </w:rPr>
            </w:pPr>
            <w:r>
              <w:rPr>
                <w:rFonts w:ascii="Times New Roman" w:hAnsi="Times New Roman"/>
                <w:szCs w:val="21"/>
              </w:rPr>
              <w:t xml:space="preserve">  a）重伤事故为零</w:t>
            </w:r>
            <w:r>
              <w:rPr>
                <w:rFonts w:hint="eastAsia" w:ascii="Times New Roman" w:hAnsi="Times New Roman"/>
                <w:szCs w:val="21"/>
                <w:lang w:val="en-US" w:eastAsia="zh-CN"/>
              </w:rPr>
              <w:t xml:space="preserve">  </w:t>
            </w:r>
            <w:r>
              <w:rPr>
                <w:rFonts w:ascii="Times New Roman" w:hAnsi="Times New Roman"/>
                <w:szCs w:val="21"/>
              </w:rPr>
              <w:t xml:space="preserve">  b）火灾事故为零</w:t>
            </w:r>
            <w:r>
              <w:rPr>
                <w:rFonts w:hint="eastAsia" w:ascii="Times New Roman" w:hAnsi="Times New Roman"/>
                <w:szCs w:val="21"/>
                <w:lang w:val="en-US" w:eastAsia="zh-CN"/>
              </w:rPr>
              <w:t xml:space="preserve">    </w:t>
            </w:r>
            <w:r>
              <w:rPr>
                <w:rFonts w:ascii="Times New Roman" w:hAnsi="Times New Roman"/>
                <w:szCs w:val="21"/>
              </w:rPr>
              <w:t xml:space="preserve"> c）重大设备事故为零。</w:t>
            </w:r>
          </w:p>
          <w:p>
            <w:pPr>
              <w:spacing w:line="360" w:lineRule="exact"/>
              <w:ind w:firstLine="420" w:firstLineChars="200"/>
              <w:rPr>
                <w:rFonts w:ascii="Times New Roman" w:hAnsi="Times New Roman"/>
                <w:szCs w:val="21"/>
              </w:rPr>
            </w:pPr>
            <w:r>
              <w:rPr>
                <w:rFonts w:ascii="Times New Roman" w:hAnsi="Times New Roman"/>
                <w:szCs w:val="21"/>
              </w:rPr>
              <w:t>2、全年职业病发生率为零。</w:t>
            </w:r>
          </w:p>
          <w:p>
            <w:pPr>
              <w:ind w:firstLine="480" w:firstLineChars="200"/>
              <w:rPr>
                <w:rFonts w:hint="eastAsia" w:ascii="宋体" w:hAnsi="宋体" w:cs="宋体"/>
                <w:bCs/>
                <w:color w:val="000000"/>
                <w:spacing w:val="10"/>
                <w:sz w:val="22"/>
                <w:szCs w:val="22"/>
              </w:rPr>
            </w:pPr>
            <w:r>
              <w:rPr>
                <w:rFonts w:hint="eastAsia" w:ascii="宋体" w:hAnsi="宋体" w:cs="宋体"/>
                <w:bCs/>
                <w:color w:val="000000"/>
                <w:spacing w:val="10"/>
                <w:sz w:val="22"/>
                <w:szCs w:val="22"/>
              </w:rPr>
              <w:t>提供环境、职业健康安全目标、指标和管理方案：明确目标、指标、控制措施和方法、责任部门和责任人，环境方案：</w:t>
            </w:r>
            <w:r>
              <w:rPr>
                <w:rFonts w:hint="eastAsia" w:ascii="宋体" w:hAnsi="宋体" w:cs="宋体"/>
                <w:bCs/>
                <w:color w:val="000000"/>
                <w:spacing w:val="10"/>
                <w:sz w:val="22"/>
                <w:szCs w:val="22"/>
                <w:lang w:val="en-US" w:eastAsia="zh-CN"/>
              </w:rPr>
              <w:t>4</w:t>
            </w:r>
            <w:r>
              <w:rPr>
                <w:rFonts w:hint="eastAsia" w:ascii="宋体" w:hAnsi="宋体" w:cs="宋体"/>
                <w:bCs/>
                <w:color w:val="000000"/>
                <w:spacing w:val="10"/>
                <w:sz w:val="22"/>
                <w:szCs w:val="22"/>
              </w:rPr>
              <w:t>项，职业健康安全：3项</w:t>
            </w:r>
          </w:p>
          <w:p>
            <w:pPr>
              <w:pStyle w:val="2"/>
              <w:rPr>
                <w:rFonts w:hint="eastAsia"/>
              </w:rPr>
            </w:pPr>
            <w:r>
              <w:rPr>
                <w:rFonts w:hint="eastAsia"/>
              </w:rPr>
              <w:t xml:space="preserve">    </w:t>
            </w:r>
            <w:r>
              <w:rPr>
                <w:rFonts w:hint="eastAsia"/>
                <w:lang w:val="en-US" w:eastAsia="zh-CN"/>
              </w:rPr>
              <w:t>从8月开始每月进行常规目标指标完成跟踪，对</w:t>
            </w:r>
            <w:r>
              <w:rPr>
                <w:rFonts w:hint="eastAsia"/>
              </w:rPr>
              <w:t>管理方案完成情况</w:t>
            </w:r>
            <w:r>
              <w:rPr>
                <w:rFonts w:hint="eastAsia"/>
                <w:lang w:val="en-US" w:eastAsia="zh-CN"/>
              </w:rPr>
              <w:t>进行</w:t>
            </w:r>
            <w:r>
              <w:rPr>
                <w:rFonts w:hint="eastAsia"/>
              </w:rPr>
              <w:t>跟进：目标指标均达成，方案有效实施。</w:t>
            </w:r>
          </w:p>
          <w:p>
            <w:pPr>
              <w:pStyle w:val="2"/>
            </w:pP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变更的策划</w:t>
            </w:r>
          </w:p>
          <w:p>
            <w:pPr>
              <w:jc w:val="left"/>
              <w:rPr>
                <w:rFonts w:ascii="宋体" w:hAnsi="宋体" w:cs="宋体"/>
                <w:color w:val="000000"/>
                <w:sz w:val="22"/>
                <w:szCs w:val="22"/>
              </w:rPr>
            </w:pPr>
          </w:p>
        </w:tc>
        <w:tc>
          <w:tcPr>
            <w:tcW w:w="1026" w:type="dxa"/>
          </w:tcPr>
          <w:p>
            <w:pPr>
              <w:jc w:val="left"/>
              <w:rPr>
                <w:rFonts w:ascii="宋体" w:hAnsi="宋体" w:cs="宋体"/>
                <w:color w:val="000000"/>
                <w:sz w:val="22"/>
                <w:szCs w:val="22"/>
              </w:rPr>
            </w:pPr>
            <w:r>
              <w:rPr>
                <w:rFonts w:hint="eastAsia" w:ascii="宋体" w:hAnsi="宋体" w:cs="宋体"/>
                <w:color w:val="000000"/>
                <w:sz w:val="22"/>
                <w:szCs w:val="22"/>
              </w:rPr>
              <w:t xml:space="preserve">Q6.3 </w:t>
            </w:r>
          </w:p>
          <w:p>
            <w:pPr>
              <w:jc w:val="left"/>
              <w:rPr>
                <w:rFonts w:ascii="宋体" w:hAnsi="宋体" w:cs="宋体"/>
                <w:color w:val="000000"/>
                <w:sz w:val="22"/>
                <w:szCs w:val="22"/>
              </w:rPr>
            </w:pPr>
          </w:p>
        </w:tc>
        <w:tc>
          <w:tcPr>
            <w:tcW w:w="10429" w:type="dxa"/>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与公司总经理交流：公司在变更前考虑了变更目的及其潜在后果、管理体系的完整性、资源的可获得性以及相关部门和岗位的责任和权限的调整。</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本阶段体系无变更发生。</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资源</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总则</w:t>
            </w:r>
          </w:p>
          <w:p>
            <w:pPr>
              <w:jc w:val="left"/>
              <w:rPr>
                <w:rFonts w:ascii="宋体" w:hAnsi="宋体" w:cs="宋体"/>
                <w:color w:val="000000"/>
                <w:sz w:val="22"/>
                <w:szCs w:val="22"/>
              </w:rPr>
            </w:pPr>
          </w:p>
        </w:tc>
        <w:tc>
          <w:tcPr>
            <w:tcW w:w="1026" w:type="dxa"/>
          </w:tcPr>
          <w:p>
            <w:pPr>
              <w:jc w:val="left"/>
              <w:rPr>
                <w:rFonts w:ascii="宋体" w:hAnsi="宋体" w:cs="宋体"/>
                <w:color w:val="000000"/>
                <w:sz w:val="22"/>
                <w:szCs w:val="22"/>
              </w:rPr>
            </w:pPr>
            <w:r>
              <w:rPr>
                <w:rFonts w:hint="eastAsia" w:ascii="宋体" w:hAnsi="宋体" w:cs="Arial"/>
                <w:szCs w:val="21"/>
              </w:rPr>
              <w:t>7.1.1</w:t>
            </w:r>
            <w:r>
              <w:rPr>
                <w:rFonts w:hint="eastAsia" w:ascii="宋体" w:hAnsi="宋体" w:cs="Arial"/>
                <w:sz w:val="18"/>
                <w:szCs w:val="18"/>
              </w:rPr>
              <w:t>（EO7.1）</w:t>
            </w:r>
          </w:p>
        </w:tc>
        <w:tc>
          <w:tcPr>
            <w:tcW w:w="10429" w:type="dxa"/>
          </w:tcPr>
          <w:p>
            <w:pPr>
              <w:pStyle w:val="2"/>
              <w:spacing w:before="0" w:after="0"/>
              <w:ind w:firstLine="480" w:firstLineChars="200"/>
              <w:rPr>
                <w:spacing w:val="0"/>
              </w:rPr>
            </w:pPr>
            <w:r>
              <w:rPr>
                <w:rFonts w:hint="eastAsia" w:ascii="宋体" w:hAnsi="宋体" w:cs="宋体"/>
                <w:color w:val="000000"/>
                <w:sz w:val="22"/>
                <w:szCs w:val="22"/>
              </w:rPr>
              <w:t>公司总经理说明：</w:t>
            </w:r>
            <w:r>
              <w:rPr>
                <w:rFonts w:hint="eastAsia" w:ascii="宋体" w:hAnsi="宋体" w:cs="宋体"/>
                <w:color w:val="000000"/>
                <w:spacing w:val="0"/>
                <w:sz w:val="22"/>
                <w:szCs w:val="22"/>
              </w:rPr>
              <w:t>公司的人力、工作场所、办公设施、工作环境、运输等资源能够满足当前公司实际需要。</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120" w:type="dxa"/>
            <w:vAlign w:val="center"/>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监视、测量、分析和评价</w:t>
            </w:r>
          </w:p>
        </w:tc>
        <w:tc>
          <w:tcPr>
            <w:tcW w:w="1026" w:type="dxa"/>
            <w:vAlign w:val="center"/>
          </w:tcPr>
          <w:p>
            <w:pPr>
              <w:tabs>
                <w:tab w:val="left" w:pos="6597"/>
              </w:tabs>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 xml:space="preserve">EO 9.1.1 </w:t>
            </w:r>
          </w:p>
        </w:tc>
        <w:tc>
          <w:tcPr>
            <w:tcW w:w="10429" w:type="dxa"/>
            <w:vAlign w:val="center"/>
          </w:tcPr>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公司编制《环境和职业健康安全监测控制程序》</w:t>
            </w:r>
            <w:r>
              <w:rPr>
                <w:rFonts w:hint="eastAsia" w:cs="宋体" w:asciiTheme="minorEastAsia" w:hAnsiTheme="minorEastAsia" w:eastAsiaTheme="minorEastAsia"/>
                <w:szCs w:val="21"/>
                <w:lang w:eastAsia="zh-CN"/>
              </w:rPr>
              <w:t>NJZY</w:t>
            </w:r>
            <w:r>
              <w:rPr>
                <w:rFonts w:hint="eastAsia" w:cs="宋体" w:asciiTheme="minorEastAsia" w:hAnsiTheme="minorEastAsia" w:eastAsiaTheme="minorEastAsia"/>
                <w:szCs w:val="21"/>
              </w:rPr>
              <w:t>-CX-24，综合部通过定期抽查各部门、车间对体系文件</w:t>
            </w:r>
          </w:p>
          <w:p>
            <w:pP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的执行情况、法律法规的遵循情况、目标、指标的完成情况、环境、职业健康安全管理方案实施情况等</w:t>
            </w:r>
            <w:r>
              <w:rPr>
                <w:rFonts w:hint="eastAsia" w:cs="宋体" w:asciiTheme="minorEastAsia" w:hAnsiTheme="minorEastAsia" w:eastAsiaTheme="minorEastAsia"/>
                <w:szCs w:val="21"/>
                <w:lang w:eastAsia="zh-CN"/>
              </w:rPr>
              <w:t>；</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查“2021年各部门质量目标完成情况统计记录”，2021.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月提供综合部对公司及各部门质量目标完成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情况</w:t>
            </w:r>
            <w:r>
              <w:rPr>
                <w:rFonts w:hint="eastAsia" w:cs="宋体" w:asciiTheme="minorEastAsia" w:hAnsiTheme="minorEastAsia" w:eastAsiaTheme="minorEastAsia"/>
                <w:szCs w:val="21"/>
                <w:lang w:val="en-US" w:eastAsia="zh-CN"/>
              </w:rPr>
              <w:t>统计</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质量目标、指标均达</w:t>
            </w:r>
            <w:r>
              <w:rPr>
                <w:rFonts w:hint="eastAsia" w:cs="宋体" w:asciiTheme="minorEastAsia" w:hAnsiTheme="minorEastAsia" w:eastAsiaTheme="minorEastAsia"/>
                <w:szCs w:val="21"/>
              </w:rPr>
              <w:t>成。</w:t>
            </w:r>
          </w:p>
          <w:p>
            <w:pPr>
              <w:ind w:left="357"/>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30日对公司及</w:t>
            </w:r>
            <w:r>
              <w:rPr>
                <w:rFonts w:hint="eastAsia" w:cs="宋体" w:asciiTheme="minorEastAsia" w:hAnsiTheme="minorEastAsia" w:eastAsiaTheme="minorEastAsia"/>
                <w:szCs w:val="21"/>
              </w:rPr>
              <w:t>各职能部门环境和安全目标指标每月完成情况统计，公司及各部门目标</w:t>
            </w:r>
            <w:r>
              <w:rPr>
                <w:rFonts w:hint="eastAsia" w:cs="宋体" w:asciiTheme="minorEastAsia" w:hAnsiTheme="minorEastAsia" w:eastAsiaTheme="minorEastAsia"/>
                <w:szCs w:val="21"/>
                <w:lang w:val="en-US" w:eastAsia="zh-CN"/>
              </w:rPr>
              <w:t>指标</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均</w:t>
            </w:r>
            <w:r>
              <w:rPr>
                <w:rFonts w:hint="eastAsia" w:cs="宋体" w:asciiTheme="minorEastAsia" w:hAnsiTheme="minorEastAsia" w:eastAsiaTheme="minorEastAsia"/>
                <w:szCs w:val="21"/>
                <w:lang w:val="en-US" w:eastAsia="zh-CN"/>
              </w:rPr>
              <w:t>达</w:t>
            </w:r>
            <w:r>
              <w:rPr>
                <w:rFonts w:hint="eastAsia" w:cs="宋体" w:asciiTheme="minorEastAsia" w:hAnsiTheme="minorEastAsia" w:eastAsiaTheme="minorEastAsia"/>
                <w:szCs w:val="21"/>
              </w:rPr>
              <w:t>成；</w:t>
            </w:r>
            <w:r>
              <w:rPr>
                <w:rFonts w:hint="eastAsia" w:cs="宋体" w:asciiTheme="minorEastAsia" w:hAnsiTheme="minorEastAsia" w:eastAsiaTheme="minorEastAsia"/>
                <w:szCs w:val="21"/>
                <w:lang w:val="en-US" w:eastAsia="zh-CN"/>
              </w:rPr>
              <w:t>方案有效实施</w:t>
            </w:r>
            <w:r>
              <w:rPr>
                <w:rFonts w:hint="eastAsia" w:cs="宋体" w:asciiTheme="minorEastAsia" w:hAnsiTheme="minorEastAsia" w:eastAsiaTheme="minorEastAsia"/>
                <w:szCs w:val="21"/>
              </w:rPr>
              <w:t>。</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通内审、管理评审对管理体系适宜、符合性进行监视；</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技质部负责入厂材料验收、产成品调试及生产过程监督监视和测量、分析和评价原材料和成品符合性；</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经现场交流确认，结合公司认证范围公司无安全、环境检测设备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质量监视和测量设备定期送检。</w:t>
            </w:r>
          </w:p>
          <w:p>
            <w:pPr>
              <w:ind w:left="357" w:left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val="en-US" w:eastAsia="zh-CN"/>
              </w:rPr>
              <w:t>生产和服务过程及工艺特点无显著职业危害</w:t>
            </w:r>
            <w:r>
              <w:rPr>
                <w:rFonts w:hint="eastAsia" w:cs="宋体" w:asciiTheme="minorEastAsia" w:hAnsiTheme="minorEastAsia" w:eastAsiaTheme="minorEastAsia"/>
                <w:szCs w:val="21"/>
              </w:rPr>
              <w:t>，结合公司认证范围员工不涉及职业病，不需监测。</w:t>
            </w:r>
          </w:p>
        </w:tc>
        <w:tc>
          <w:tcPr>
            <w:tcW w:w="1054" w:type="dxa"/>
            <w:vAlign w:val="top"/>
          </w:tcPr>
          <w:p>
            <w:pPr>
              <w:spacing w:line="360" w:lineRule="auto"/>
              <w:rPr>
                <w:rFonts w:ascii="楷体" w:hAnsi="楷体" w:eastAsia="楷体"/>
                <w:sz w:val="24"/>
                <w:szCs w:val="24"/>
              </w:rPr>
            </w:pPr>
          </w:p>
          <w:p>
            <w:pPr>
              <w:spacing w:line="360" w:lineRule="auto"/>
              <w:jc w:val="center"/>
              <w:rPr>
                <w:rFonts w:hint="eastAsia" w:ascii="楷体" w:hAnsi="楷体" w:eastAsia="楷体" w:cs="Times New Roman"/>
                <w:kern w:val="2"/>
                <w:sz w:val="24"/>
                <w:szCs w:val="24"/>
                <w:lang w:val="en-US" w:eastAsia="zh-CN" w:bidi="ar-SA"/>
              </w:rP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管理评审</w:t>
            </w:r>
          </w:p>
          <w:p>
            <w:pPr>
              <w:jc w:val="left"/>
            </w:pPr>
          </w:p>
        </w:tc>
        <w:tc>
          <w:tcPr>
            <w:tcW w:w="1026" w:type="dxa"/>
          </w:tcPr>
          <w:p>
            <w:pPr>
              <w:jc w:val="left"/>
              <w:rPr>
                <w:rFonts w:ascii="宋体" w:hAnsi="宋体" w:cs="宋体"/>
                <w:color w:val="000000"/>
                <w:sz w:val="22"/>
                <w:szCs w:val="22"/>
              </w:rPr>
            </w:pPr>
            <w:r>
              <w:rPr>
                <w:rFonts w:hint="eastAsia" w:ascii="宋体" w:hAnsi="宋体" w:cs="宋体"/>
                <w:color w:val="000000"/>
                <w:sz w:val="22"/>
                <w:szCs w:val="22"/>
              </w:rPr>
              <w:t xml:space="preserve">9.3 </w:t>
            </w:r>
          </w:p>
          <w:p>
            <w:pPr>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公司制定并实施《管理评审控制程序》，管理评审每年进行一次，由总经理根据实际需要决定是否增加管理评审的频次。</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提供了2</w:t>
            </w:r>
            <w:r>
              <w:rPr>
                <w:rFonts w:ascii="宋体" w:hAnsi="宋体" w:cs="宋体"/>
                <w:color w:val="000000"/>
                <w:sz w:val="22"/>
                <w:szCs w:val="22"/>
              </w:rPr>
              <w:t>021</w:t>
            </w:r>
            <w:r>
              <w:rPr>
                <w:rFonts w:hint="eastAsia" w:ascii="宋体" w:hAnsi="宋体" w:cs="宋体"/>
                <w:color w:val="000000"/>
                <w:sz w:val="22"/>
                <w:szCs w:val="22"/>
              </w:rPr>
              <w:t>年公司管理评审活动资料如下：</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1）查</w:t>
            </w:r>
            <w:r>
              <w:rPr>
                <w:rFonts w:hint="eastAsia" w:ascii="宋体" w:hAnsi="宋体" w:cs="宋体"/>
                <w:color w:val="000000"/>
                <w:sz w:val="22"/>
                <w:szCs w:val="22"/>
                <w:lang w:val="en-US" w:eastAsia="zh-CN"/>
              </w:rPr>
              <w:t xml:space="preserve">  提供</w:t>
            </w:r>
            <w:r>
              <w:rPr>
                <w:rFonts w:hint="eastAsia" w:ascii="宋体" w:hAnsi="宋体" w:cs="宋体"/>
                <w:color w:val="000000"/>
                <w:sz w:val="22"/>
                <w:szCs w:val="22"/>
              </w:rPr>
              <w:t>《管理评审计划》，</w:t>
            </w:r>
            <w:r>
              <w:rPr>
                <w:sz w:val="32"/>
              </w:rPr>
              <w:t xml:space="preserve"> </w:t>
            </w:r>
            <w:r>
              <w:rPr>
                <w:rFonts w:hint="eastAsia" w:ascii="宋体" w:hAnsi="宋体"/>
                <w:szCs w:val="21"/>
              </w:rPr>
              <w:t>编制：</w:t>
            </w:r>
            <w:r>
              <w:rPr>
                <w:rFonts w:hint="eastAsia" w:ascii="宋体" w:hAnsi="宋体"/>
                <w:szCs w:val="21"/>
                <w:lang w:eastAsia="zh-CN"/>
              </w:rPr>
              <w:t>吴思瑜</w:t>
            </w:r>
            <w:r>
              <w:rPr>
                <w:rFonts w:hint="eastAsia" w:ascii="宋体" w:hAnsi="宋体"/>
                <w:szCs w:val="21"/>
              </w:rPr>
              <w:t xml:space="preserve">    总经理：</w:t>
            </w:r>
            <w:r>
              <w:rPr>
                <w:rFonts w:hint="eastAsia" w:ascii="宋体" w:hAnsi="宋体"/>
                <w:szCs w:val="21"/>
                <w:lang w:eastAsia="zh-CN"/>
              </w:rPr>
              <w:t>马开丽</w:t>
            </w:r>
          </w:p>
          <w:p>
            <w:pPr>
              <w:ind w:firstLine="880" w:firstLineChars="400"/>
              <w:jc w:val="left"/>
              <w:rPr>
                <w:rFonts w:ascii="宋体" w:hAnsi="宋体" w:cs="宋体"/>
                <w:color w:val="000000"/>
                <w:sz w:val="22"/>
                <w:szCs w:val="22"/>
              </w:rPr>
            </w:pPr>
            <w:r>
              <w:rPr>
                <w:rFonts w:hint="eastAsia" w:ascii="宋体" w:hAnsi="宋体" w:cs="宋体"/>
                <w:color w:val="000000"/>
                <w:sz w:val="22"/>
                <w:szCs w:val="22"/>
              </w:rPr>
              <w:t>计划评审时间：2021年1</w:t>
            </w:r>
            <w:r>
              <w:rPr>
                <w:rFonts w:hint="eastAsia" w:ascii="宋体" w:hAnsi="宋体" w:cs="宋体"/>
                <w:color w:val="000000"/>
                <w:sz w:val="22"/>
                <w:szCs w:val="22"/>
                <w:lang w:val="en-US" w:eastAsia="zh-CN"/>
              </w:rPr>
              <w:t>2</w:t>
            </w:r>
            <w:r>
              <w:rPr>
                <w:rFonts w:hint="eastAsia" w:ascii="宋体" w:hAnsi="宋体" w:cs="宋体"/>
                <w:color w:val="000000"/>
                <w:sz w:val="22"/>
                <w:szCs w:val="22"/>
              </w:rPr>
              <w:t>月1日；</w:t>
            </w:r>
          </w:p>
          <w:p>
            <w:pPr>
              <w:ind w:firstLine="880" w:firstLineChars="400"/>
              <w:jc w:val="left"/>
            </w:pPr>
            <w:r>
              <w:rPr>
                <w:rFonts w:hint="eastAsia" w:ascii="宋体" w:hAnsi="宋体" w:cs="宋体"/>
                <w:color w:val="000000"/>
                <w:sz w:val="22"/>
                <w:szCs w:val="22"/>
              </w:rPr>
              <w:t>明确评审目的、评审内容、评审地点、安排要求，参加人员：总经理、管理者代表、各部门负责人及其他相关人员；</w:t>
            </w:r>
          </w:p>
          <w:p>
            <w:pPr>
              <w:numPr>
                <w:ilvl w:val="0"/>
                <w:numId w:val="5"/>
              </w:numPr>
              <w:tabs>
                <w:tab w:val="left" w:pos="312"/>
              </w:tabs>
              <w:ind w:firstLine="440" w:firstLineChars="200"/>
              <w:jc w:val="left"/>
              <w:rPr>
                <w:rFonts w:hint="eastAsia" w:ascii="宋体" w:hAnsi="宋体" w:cs="宋体"/>
                <w:color w:val="000000"/>
                <w:sz w:val="22"/>
                <w:szCs w:val="22"/>
              </w:rPr>
            </w:pPr>
            <w:r>
              <w:rPr>
                <w:rFonts w:hint="eastAsia" w:ascii="宋体" w:hAnsi="宋体" w:cs="宋体"/>
                <w:color w:val="000000"/>
                <w:sz w:val="22"/>
                <w:szCs w:val="22"/>
              </w:rPr>
              <w:t>管理评审输入：</w:t>
            </w:r>
            <w:r>
              <w:rPr>
                <w:rFonts w:hint="eastAsia" w:ascii="宋体" w:hAnsi="宋体" w:cs="宋体"/>
                <w:color w:val="000000"/>
                <w:sz w:val="22"/>
                <w:szCs w:val="22"/>
                <w:lang w:val="en-US" w:eastAsia="zh-CN"/>
              </w:rPr>
              <w:t>有管理者代表、</w:t>
            </w:r>
            <w:r>
              <w:rPr>
                <w:rFonts w:hint="eastAsia" w:ascii="宋体" w:hAnsi="宋体" w:cs="宋体"/>
                <w:color w:val="000000"/>
                <w:sz w:val="22"/>
                <w:szCs w:val="22"/>
              </w:rPr>
              <w:t>各部门管理</w:t>
            </w:r>
            <w:r>
              <w:rPr>
                <w:rFonts w:hint="eastAsia" w:ascii="宋体" w:hAnsi="宋体" w:cs="宋体"/>
                <w:color w:val="000000"/>
                <w:sz w:val="22"/>
                <w:szCs w:val="22"/>
                <w:lang w:val="en-US" w:eastAsia="zh-CN"/>
              </w:rPr>
              <w:t>体系</w:t>
            </w:r>
            <w:r>
              <w:rPr>
                <w:rFonts w:hint="eastAsia" w:ascii="宋体" w:hAnsi="宋体" w:cs="宋体"/>
                <w:color w:val="000000"/>
                <w:sz w:val="22"/>
                <w:szCs w:val="22"/>
              </w:rPr>
              <w:t>运行情况</w:t>
            </w:r>
            <w:r>
              <w:rPr>
                <w:rFonts w:hint="eastAsia" w:ascii="宋体" w:hAnsi="宋体" w:cs="宋体"/>
                <w:color w:val="000000"/>
                <w:sz w:val="22"/>
                <w:szCs w:val="22"/>
                <w:lang w:val="en-US" w:eastAsia="zh-CN"/>
              </w:rPr>
              <w:t>总结</w:t>
            </w:r>
            <w:r>
              <w:rPr>
                <w:rFonts w:hint="eastAsia" w:ascii="宋体" w:hAnsi="宋体" w:cs="宋体"/>
                <w:color w:val="000000"/>
                <w:sz w:val="22"/>
                <w:szCs w:val="22"/>
              </w:rPr>
              <w:t>。</w:t>
            </w:r>
          </w:p>
          <w:p>
            <w:pPr>
              <w:pStyle w:val="2"/>
              <w:numPr>
                <w:ilvl w:val="0"/>
                <w:numId w:val="0"/>
              </w:numPr>
              <w:ind w:left="0" w:leftChars="0" w:firstLine="420" w:firstLineChars="0"/>
              <w:rPr>
                <w:rFonts w:hint="default" w:ascii="宋体" w:hAnsi="宋体" w:eastAsia="宋体" w:cs="宋体"/>
                <w:color w:val="000000"/>
                <w:sz w:val="22"/>
                <w:szCs w:val="22"/>
                <w:lang w:val="en-US" w:eastAsia="zh-CN"/>
              </w:rPr>
            </w:pPr>
            <w:r>
              <w:rPr>
                <w:rFonts w:ascii="宋体" w:hAnsi="宋体" w:cs="宋体"/>
                <w:color w:val="000000"/>
                <w:sz w:val="22"/>
                <w:szCs w:val="22"/>
              </w:rPr>
              <w:t>3</w:t>
            </w:r>
            <w:r>
              <w:rPr>
                <w:rFonts w:hint="eastAsia" w:ascii="宋体" w:hAnsi="宋体" w:cs="宋体"/>
                <w:color w:val="000000"/>
                <w:sz w:val="22"/>
                <w:szCs w:val="22"/>
              </w:rPr>
              <w:t>）</w:t>
            </w:r>
            <w:r>
              <w:rPr>
                <w:rFonts w:hint="eastAsia" w:ascii="宋体" w:hAnsi="宋体" w:cs="宋体"/>
                <w:color w:val="000000"/>
                <w:sz w:val="22"/>
                <w:szCs w:val="22"/>
                <w:lang w:val="en-US" w:eastAsia="zh-CN"/>
              </w:rPr>
              <w:t>有管理评审实施记录：提供会议签到、会议记录，</w:t>
            </w:r>
            <w:r>
              <w:rPr>
                <w:rFonts w:hint="eastAsia" w:ascii="宋体" w:hAnsi="宋体" w:cs="宋体"/>
                <w:color w:val="000000"/>
                <w:sz w:val="22"/>
                <w:szCs w:val="22"/>
              </w:rPr>
              <w:t>主持人：公司</w:t>
            </w:r>
            <w:r>
              <w:rPr>
                <w:rFonts w:hint="eastAsia" w:ascii="宋体" w:hAnsi="宋体" w:cs="宋体"/>
                <w:color w:val="000000"/>
                <w:sz w:val="22"/>
                <w:szCs w:val="22"/>
                <w:lang w:eastAsia="zh-CN"/>
              </w:rPr>
              <w:t>总经理，</w:t>
            </w:r>
            <w:r>
              <w:rPr>
                <w:rFonts w:hint="eastAsia" w:ascii="宋体" w:hAnsi="宋体" w:cs="宋体"/>
                <w:color w:val="000000"/>
                <w:sz w:val="22"/>
                <w:szCs w:val="22"/>
                <w:lang w:val="en-US" w:eastAsia="zh-CN"/>
              </w:rPr>
              <w:t>按期实施；</w:t>
            </w:r>
          </w:p>
          <w:p>
            <w:pPr>
              <w:ind w:firstLine="440" w:firstLineChars="200"/>
              <w:rPr>
                <w:rFonts w:hint="eastAsia" w:ascii="宋体" w:hAnsi="宋体" w:eastAsia="宋体" w:cs="宋体"/>
                <w:bCs/>
                <w:color w:val="000000"/>
                <w:spacing w:val="10"/>
                <w:kern w:val="2"/>
                <w:sz w:val="22"/>
                <w:szCs w:val="22"/>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w:t>
            </w:r>
            <w:r>
              <w:rPr>
                <w:rFonts w:hint="eastAsia" w:ascii="宋体" w:hAnsi="宋体" w:cs="宋体"/>
                <w:color w:val="000000"/>
                <w:sz w:val="22"/>
                <w:szCs w:val="22"/>
                <w:lang w:val="en-US" w:eastAsia="zh-CN"/>
              </w:rPr>
              <w:t>管理评审形成《管理评审报告》，总结评审内审，形成</w:t>
            </w:r>
            <w:r>
              <w:rPr>
                <w:rFonts w:hint="eastAsia" w:ascii="宋体" w:hAnsi="宋体" w:cs="宋体"/>
                <w:color w:val="000000"/>
                <w:sz w:val="22"/>
                <w:szCs w:val="22"/>
              </w:rPr>
              <w:t>评审结论：</w:t>
            </w:r>
            <w:r>
              <w:rPr>
                <w:rFonts w:hint="eastAsia" w:ascii="宋体" w:hAnsi="宋体" w:eastAsia="宋体" w:cs="宋体"/>
                <w:bCs/>
                <w:color w:val="000000"/>
                <w:spacing w:val="10"/>
                <w:kern w:val="2"/>
                <w:sz w:val="22"/>
                <w:szCs w:val="22"/>
                <w:lang w:val="en-US" w:eastAsia="zh-CN" w:bidi="ar-SA"/>
              </w:rPr>
              <w:t>现行质量环境/职业健康安全管理体系基本是充分的、适宜的、有效的；</w:t>
            </w:r>
          </w:p>
          <w:p>
            <w:pPr>
              <w:numPr>
                <w:ilvl w:val="0"/>
                <w:numId w:val="0"/>
              </w:numPr>
              <w:tabs>
                <w:tab w:val="left" w:pos="312"/>
              </w:tabs>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改进建议</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进一步认真学习ISO</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9001：2015、ISO</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14001：2015及ISO</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45001</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2018标准和贯彻质量/环境/职业健康安全管理体系文件精神，对标准要求和文件规定加深理解和掌握，提高员工整体素质和参与管理体系的自觉性，严格按标准要求执行，减少不符合项重复发生，，确保质量/环境/职业健康安全管理体系持续改进，不断完善提高。</w:t>
            </w:r>
          </w:p>
          <w:p>
            <w:pPr>
              <w:numPr>
                <w:ilvl w:val="0"/>
                <w:numId w:val="0"/>
              </w:numPr>
              <w:tabs>
                <w:tab w:val="left" w:pos="312"/>
              </w:tabs>
              <w:ind w:firstLine="440" w:firstLineChars="200"/>
              <w:jc w:val="left"/>
              <w:rPr>
                <w:rFonts w:ascii="宋体" w:hAnsi="宋体" w:cs="宋体"/>
                <w:color w:val="000000"/>
                <w:sz w:val="22"/>
                <w:szCs w:val="22"/>
              </w:rPr>
            </w:pPr>
            <w:r>
              <w:rPr>
                <w:rFonts w:hint="eastAsia" w:ascii="宋体" w:hAnsi="宋体" w:eastAsia="宋体" w:cs="宋体"/>
                <w:color w:val="000000"/>
                <w:sz w:val="22"/>
                <w:szCs w:val="22"/>
              </w:rPr>
              <w:t>改正、纠正和预防措施摘要及责任部门：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部分员工在执行质量管理体系的时候，主动性不够，往往需要部门主管或其它人员督促，希望人力资源部在这方面进一步宣传、培训。</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pPr>
            <w:r>
              <w:rPr>
                <w:rFonts w:hint="eastAsia" w:ascii="宋体" w:hAnsi="宋体" w:cs="宋体"/>
                <w:color w:val="000000"/>
                <w:sz w:val="22"/>
                <w:szCs w:val="22"/>
              </w:rPr>
              <w:t>改进——总则</w:t>
            </w:r>
          </w:p>
        </w:tc>
        <w:tc>
          <w:tcPr>
            <w:tcW w:w="1026" w:type="dxa"/>
          </w:tcPr>
          <w:p>
            <w:pPr>
              <w:jc w:val="left"/>
            </w:pPr>
            <w:r>
              <w:rPr>
                <w:rFonts w:hint="eastAsia" w:ascii="宋体" w:hAnsi="宋体" w:cs="宋体"/>
                <w:color w:val="000000"/>
                <w:sz w:val="22"/>
                <w:szCs w:val="22"/>
              </w:rPr>
              <w:t>10.1</w:t>
            </w:r>
          </w:p>
        </w:tc>
        <w:tc>
          <w:tcPr>
            <w:tcW w:w="10429" w:type="dxa"/>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公司考虑了分析、评价结果及管理评审的输出，并确定了对存在应关注的持续改进的需求和机遇。</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20" w:type="dxa"/>
          </w:tcPr>
          <w:p>
            <w:r>
              <w:rPr>
                <w:rFonts w:hint="eastAsia" w:ascii="宋体" w:hAnsi="宋体" w:cs="宋体"/>
                <w:szCs w:val="21"/>
              </w:rPr>
              <w:t>持续改进</w:t>
            </w:r>
          </w:p>
        </w:tc>
        <w:tc>
          <w:tcPr>
            <w:tcW w:w="1026" w:type="dxa"/>
          </w:tcPr>
          <w:p>
            <w:pPr>
              <w:jc w:val="left"/>
              <w:rPr>
                <w:szCs w:val="21"/>
              </w:rPr>
            </w:pPr>
            <w:r>
              <w:rPr>
                <w:rFonts w:hint="eastAsia" w:ascii="宋体" w:hAnsi="宋体" w:cs="宋体"/>
                <w:color w:val="000000"/>
                <w:sz w:val="22"/>
                <w:szCs w:val="22"/>
              </w:rPr>
              <w:t>10.3</w:t>
            </w:r>
          </w:p>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公司利用管理方针、目标、内审和外审、数据分析、纠正和预防措施以及管理评审，识别任何改进的机会，持续改进管理体系的适宜性、充分性和有效性。</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公司组织确定并选择改进机会，采取了必要措施，以满足顾客要求和增强顾客满意。</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资质验证</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公司提供的营业执照在有效期内，</w:t>
            </w:r>
            <w:r>
              <w:rPr>
                <w:rFonts w:hint="eastAsia" w:ascii="宋体" w:hAnsi="宋体" w:cs="宋体"/>
                <w:color w:val="000000"/>
                <w:sz w:val="22"/>
                <w:szCs w:val="22"/>
                <w:lang w:val="en-US" w:eastAsia="zh-CN"/>
              </w:rPr>
              <w:t>包含</w:t>
            </w:r>
            <w:r>
              <w:rPr>
                <w:rFonts w:hint="eastAsia" w:ascii="宋体" w:hAnsi="宋体" w:cs="宋体"/>
                <w:color w:val="000000"/>
                <w:sz w:val="22"/>
                <w:szCs w:val="22"/>
              </w:rPr>
              <w:t>认证范围。</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事故</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公司的管理体系自运行以来，尚未发生事故</w:t>
            </w:r>
            <w:r>
              <w:rPr>
                <w:rFonts w:hint="eastAsia" w:ascii="宋体" w:hAnsi="宋体" w:cs="宋体"/>
                <w:color w:val="000000"/>
                <w:sz w:val="22"/>
                <w:szCs w:val="22"/>
                <w:lang w:eastAsia="zh-CN"/>
              </w:rPr>
              <w:t>、</w:t>
            </w:r>
            <w:r>
              <w:rPr>
                <w:rFonts w:hint="eastAsia" w:ascii="宋体" w:hAnsi="宋体" w:cs="宋体"/>
                <w:color w:val="000000"/>
                <w:sz w:val="22"/>
                <w:szCs w:val="22"/>
              </w:rPr>
              <w:t>事件。</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顾客满意、相关方投诉处理</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近年来未发生顾客及相关方投诉情况，日常顾客反馈意见或建议已及时处理。</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主管部门抽查情况</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上级主管部门本年度未进行监督抽查。</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标准、规范执行、遵纪守法情况</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目前公司经营过程中没有发生违反适用法律法规及其他要求的情况。</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问题的验证</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highlight w:val="none"/>
              </w:rPr>
              <w:t>上次审核提出问题项，已</w:t>
            </w:r>
            <w:r>
              <w:rPr>
                <w:rFonts w:hint="eastAsia" w:ascii="宋体" w:hAnsi="宋体" w:cs="宋体"/>
                <w:color w:val="000000"/>
                <w:sz w:val="22"/>
                <w:szCs w:val="22"/>
              </w:rPr>
              <w:t>经得到有效整改。</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vAlign w:val="top"/>
          </w:tcPr>
          <w:p>
            <w:pPr>
              <w:jc w:val="left"/>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变更</w:t>
            </w:r>
          </w:p>
        </w:tc>
        <w:tc>
          <w:tcPr>
            <w:tcW w:w="1026" w:type="dxa"/>
            <w:vAlign w:val="top"/>
          </w:tcPr>
          <w:p>
            <w:pPr>
              <w:ind w:firstLine="880" w:firstLineChars="400"/>
              <w:jc w:val="left"/>
              <w:rPr>
                <w:rFonts w:ascii="宋体" w:hAnsi="宋体" w:eastAsia="宋体" w:cs="宋体"/>
                <w:color w:val="000000"/>
                <w:kern w:val="2"/>
                <w:sz w:val="22"/>
                <w:szCs w:val="22"/>
                <w:lang w:val="en-US" w:eastAsia="zh-CN" w:bidi="ar-SA"/>
              </w:rPr>
            </w:pPr>
          </w:p>
        </w:tc>
        <w:tc>
          <w:tcPr>
            <w:tcW w:w="10429" w:type="dxa"/>
            <w:vAlign w:val="center"/>
          </w:tcPr>
          <w:p>
            <w:pPr>
              <w:ind w:firstLine="440" w:firstLineChars="200"/>
              <w:jc w:val="left"/>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体系无重大变更。</w:t>
            </w:r>
          </w:p>
        </w:tc>
        <w:tc>
          <w:tcPr>
            <w:tcW w:w="1054" w:type="dxa"/>
            <w:vAlign w:val="top"/>
          </w:tcPr>
          <w:p>
            <w:pPr>
              <w:jc w:val="center"/>
              <w:rPr>
                <w:rFonts w:ascii="Times New Roman" w:hAnsi="Times New Roman" w:eastAsia="宋体" w:cs="Times New Roman"/>
                <w:kern w:val="2"/>
                <w:sz w:val="21"/>
                <w:lang w:val="en-US" w:eastAsia="zh-CN" w:bidi="ar-SA"/>
              </w:rPr>
            </w:pPr>
            <w:r>
              <w:rPr>
                <w:rFonts w:hint="eastAsia"/>
              </w:rPr>
              <w:t>OK</w:t>
            </w:r>
          </w:p>
        </w:tc>
      </w:tr>
    </w:tbl>
    <w:p>
      <w:pPr>
        <w:pStyle w:val="6"/>
        <w:spacing w:beforeLines="50" w:line="480" w:lineRule="auto"/>
        <w:ind w:firstLine="360" w:firstLineChars="200"/>
      </w:pPr>
      <w:r>
        <w:rPr>
          <w:rFonts w:hint="eastAsia"/>
        </w:rPr>
        <w:t>说明：不符合标注N。</w:t>
      </w:r>
    </w:p>
    <w:sectPr>
      <w:headerReference r:id="rId3" w:type="default"/>
      <w:footerReference r:id="rId4" w:type="default"/>
      <w:pgSz w:w="16838" w:h="11906" w:orient="landscape"/>
      <w:pgMar w:top="1418" w:right="1134" w:bottom="1418" w:left="1134" w:header="907"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EndPr>
      <w:rPr>
        <w:rFonts w:asciiTheme="minorEastAsia" w:hAnsiTheme="minorEastAsia" w:eastAsiaTheme="minorEastAsia"/>
      </w:rPr>
    </w:sdtEndPr>
    <w:sdtContent>
      <w:sdt>
        <w:sdtPr>
          <w:id w:val="171357217"/>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b/>
              </w:rPr>
              <w:fldChar w:fldCharType="begin"/>
            </w:r>
            <w:r>
              <w:rPr>
                <w:rFonts w:asciiTheme="minorEastAsia" w:hAnsiTheme="minorEastAsia" w:eastAsiaTheme="minorEastAsia"/>
                <w:b/>
              </w:rPr>
              <w:instrText xml:space="preserve">PAGE</w:instrText>
            </w:r>
            <w:r>
              <w:rPr>
                <w:rFonts w:asciiTheme="minorEastAsia" w:hAnsiTheme="minorEastAsia" w:eastAsiaTheme="minorEastAsia"/>
                <w:b/>
              </w:rPr>
              <w:fldChar w:fldCharType="separate"/>
            </w:r>
            <w:r>
              <w:rPr>
                <w:rFonts w:asciiTheme="minorEastAsia" w:hAnsiTheme="minorEastAsia" w:eastAsiaTheme="minorEastAsia"/>
                <w:b/>
              </w:rPr>
              <w:t>1</w:t>
            </w:r>
            <w:r>
              <w:rPr>
                <w:rFonts w:asciiTheme="minorEastAsia" w:hAnsiTheme="minorEastAsia" w:eastAsiaTheme="minorEastAsia"/>
                <w:b/>
              </w:rPr>
              <w:fldChar w:fldCharType="end"/>
            </w:r>
            <w:r>
              <w:rPr>
                <w:rFonts w:asciiTheme="minorEastAsia" w:hAnsiTheme="minorEastAsia" w:eastAsiaTheme="minorEastAsia"/>
                <w:lang w:val="zh-CN"/>
              </w:rPr>
              <w:t xml:space="preserve"> / </w:t>
            </w:r>
            <w:r>
              <w:rPr>
                <w:rFonts w:asciiTheme="minorEastAsia" w:hAnsiTheme="minorEastAsia" w:eastAsiaTheme="minorEastAsia"/>
                <w:b/>
              </w:rPr>
              <w:fldChar w:fldCharType="begin"/>
            </w:r>
            <w:r>
              <w:rPr>
                <w:rFonts w:asciiTheme="minorEastAsia" w:hAnsiTheme="minorEastAsia" w:eastAsiaTheme="minorEastAsia"/>
                <w:b/>
              </w:rPr>
              <w:instrText xml:space="preserve">NUMPAGES</w:instrText>
            </w:r>
            <w:r>
              <w:rPr>
                <w:rFonts w:asciiTheme="minorEastAsia" w:hAnsiTheme="minorEastAsia" w:eastAsiaTheme="minorEastAsia"/>
                <w:b/>
              </w:rPr>
              <w:fldChar w:fldCharType="separate"/>
            </w:r>
            <w:r>
              <w:rPr>
                <w:rFonts w:asciiTheme="minorEastAsia" w:hAnsiTheme="minorEastAsia" w:eastAsiaTheme="minorEastAsia"/>
                <w:b/>
              </w:rPr>
              <w:t>9</w:t>
            </w:r>
            <w:r>
              <w:rPr>
                <w:rFonts w:asciiTheme="minorEastAsia" w:hAnsiTheme="minorEastAsia" w:eastAsiaTheme="minorEastAsia"/>
                <w:b/>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p>
  <w:p>
    <w:pPr>
      <w:pStyle w:val="7"/>
      <w:pBdr>
        <w:bottom w:val="none" w:color="auto" w:sz="0" w:space="0"/>
      </w:pBdr>
      <w:spacing w:line="320" w:lineRule="exact"/>
      <w:ind w:firstLine="720" w:firstLineChars="400"/>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path/>
          <v:fill focussize="0,0"/>
          <v:stroke on="f" joinstyle="miter"/>
          <v:imagedata o:title=""/>
          <o:lock v:ext="edit"/>
          <v:textbox>
            <w:txbxContent>
              <w:p>
                <w:pPr>
                  <w:jc w:val="center"/>
                  <w:rPr>
                    <w:sz w:val="18"/>
                    <w:szCs w:val="18"/>
                  </w:rPr>
                </w:pPr>
                <w:r>
                  <w:rPr>
                    <w:rFonts w:hint="eastAsia"/>
                    <w:sz w:val="18"/>
                    <w:szCs w:val="18"/>
                  </w:rPr>
                  <w:t>ISC-B-II-12(05版）</w:t>
                </w:r>
              </w:p>
              <w:p/>
            </w:txbxContent>
          </v:textbox>
        </v:shape>
      </w:pict>
    </w:r>
    <w:r>
      <w:rPr>
        <w:rStyle w:val="14"/>
        <w:rFonts w:hint="default"/>
        <w:w w:val="90"/>
      </w:rPr>
      <w:t xml:space="preserve">Beijing International Standard united Certification Co.,Ltd.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A8E74"/>
    <w:multiLevelType w:val="singleLevel"/>
    <w:tmpl w:val="8DFA8E74"/>
    <w:lvl w:ilvl="0" w:tentative="0">
      <w:start w:val="1"/>
      <w:numFmt w:val="decimal"/>
      <w:lvlText w:val="%1)"/>
      <w:lvlJc w:val="left"/>
      <w:pPr>
        <w:tabs>
          <w:tab w:val="left" w:pos="420"/>
        </w:tabs>
        <w:ind w:left="845" w:hanging="425"/>
      </w:pPr>
      <w:rPr>
        <w:rFonts w:hint="default"/>
      </w:rPr>
    </w:lvl>
  </w:abstractNum>
  <w:abstractNum w:abstractNumId="1">
    <w:nsid w:val="CD3BED7A"/>
    <w:multiLevelType w:val="singleLevel"/>
    <w:tmpl w:val="CD3BED7A"/>
    <w:lvl w:ilvl="0" w:tentative="0">
      <w:start w:val="1"/>
      <w:numFmt w:val="decimal"/>
      <w:lvlText w:val="%1)"/>
      <w:lvlJc w:val="left"/>
      <w:pPr>
        <w:tabs>
          <w:tab w:val="left" w:pos="420"/>
        </w:tabs>
        <w:ind w:left="845" w:hanging="425"/>
      </w:pPr>
      <w:rPr>
        <w:rFonts w:hint="default"/>
      </w:rPr>
    </w:lvl>
  </w:abstractNum>
  <w:abstractNum w:abstractNumId="2">
    <w:nsid w:val="E573ABB5"/>
    <w:multiLevelType w:val="singleLevel"/>
    <w:tmpl w:val="E573ABB5"/>
    <w:lvl w:ilvl="0" w:tentative="0">
      <w:start w:val="2"/>
      <w:numFmt w:val="decimal"/>
      <w:suff w:val="nothing"/>
      <w:lvlText w:val="%1）"/>
      <w:lvlJc w:val="left"/>
    </w:lvl>
  </w:abstractNum>
  <w:abstractNum w:abstractNumId="3">
    <w:nsid w:val="0000003E"/>
    <w:multiLevelType w:val="multilevel"/>
    <w:tmpl w:val="0000003E"/>
    <w:lvl w:ilvl="0" w:tentative="0">
      <w:start w:val="1"/>
      <w:numFmt w:val="lowerLetter"/>
      <w:lvlText w:val="%1)"/>
      <w:lvlJc w:val="left"/>
      <w:pPr>
        <w:tabs>
          <w:tab w:val="left" w:pos="1904"/>
        </w:tabs>
        <w:ind w:left="190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1C45AB"/>
    <w:multiLevelType w:val="multilevel"/>
    <w:tmpl w:val="011C45A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C4E11"/>
    <w:rsid w:val="000128A9"/>
    <w:rsid w:val="00017E5E"/>
    <w:rsid w:val="000C7CC1"/>
    <w:rsid w:val="00127ABB"/>
    <w:rsid w:val="0013035C"/>
    <w:rsid w:val="00155879"/>
    <w:rsid w:val="0017051F"/>
    <w:rsid w:val="001C4E11"/>
    <w:rsid w:val="00210973"/>
    <w:rsid w:val="00237030"/>
    <w:rsid w:val="002454C3"/>
    <w:rsid w:val="00246C61"/>
    <w:rsid w:val="00287916"/>
    <w:rsid w:val="002C7B73"/>
    <w:rsid w:val="002D3947"/>
    <w:rsid w:val="002D5226"/>
    <w:rsid w:val="002E5F39"/>
    <w:rsid w:val="002E7EC8"/>
    <w:rsid w:val="002F35C1"/>
    <w:rsid w:val="002F64CC"/>
    <w:rsid w:val="00300A56"/>
    <w:rsid w:val="003034F2"/>
    <w:rsid w:val="0030662B"/>
    <w:rsid w:val="0031218D"/>
    <w:rsid w:val="00324ABC"/>
    <w:rsid w:val="00425CF3"/>
    <w:rsid w:val="00434840"/>
    <w:rsid w:val="00452469"/>
    <w:rsid w:val="004653DB"/>
    <w:rsid w:val="0048522D"/>
    <w:rsid w:val="00495000"/>
    <w:rsid w:val="004D621A"/>
    <w:rsid w:val="004E26FA"/>
    <w:rsid w:val="00507C75"/>
    <w:rsid w:val="00507E5D"/>
    <w:rsid w:val="005264FF"/>
    <w:rsid w:val="00536912"/>
    <w:rsid w:val="00536CF1"/>
    <w:rsid w:val="00541DCC"/>
    <w:rsid w:val="00557A0F"/>
    <w:rsid w:val="0056166D"/>
    <w:rsid w:val="0058239F"/>
    <w:rsid w:val="005C5B90"/>
    <w:rsid w:val="005E33C4"/>
    <w:rsid w:val="005E3CF4"/>
    <w:rsid w:val="005F2DEA"/>
    <w:rsid w:val="00602F0A"/>
    <w:rsid w:val="006354D5"/>
    <w:rsid w:val="00663480"/>
    <w:rsid w:val="0067421A"/>
    <w:rsid w:val="00674E7F"/>
    <w:rsid w:val="00681366"/>
    <w:rsid w:val="006E1008"/>
    <w:rsid w:val="006E6E43"/>
    <w:rsid w:val="007177FF"/>
    <w:rsid w:val="00721532"/>
    <w:rsid w:val="00734709"/>
    <w:rsid w:val="00734B05"/>
    <w:rsid w:val="007B1CFC"/>
    <w:rsid w:val="007E04D6"/>
    <w:rsid w:val="007F1FA3"/>
    <w:rsid w:val="007F4889"/>
    <w:rsid w:val="00837CC4"/>
    <w:rsid w:val="00863027"/>
    <w:rsid w:val="0088026E"/>
    <w:rsid w:val="008868B7"/>
    <w:rsid w:val="008A0BA5"/>
    <w:rsid w:val="008B22F8"/>
    <w:rsid w:val="008B48A3"/>
    <w:rsid w:val="008B5985"/>
    <w:rsid w:val="008E0955"/>
    <w:rsid w:val="008F6003"/>
    <w:rsid w:val="008F6652"/>
    <w:rsid w:val="00946861"/>
    <w:rsid w:val="00951263"/>
    <w:rsid w:val="009812F9"/>
    <w:rsid w:val="009A0D0E"/>
    <w:rsid w:val="009A23B1"/>
    <w:rsid w:val="009A438D"/>
    <w:rsid w:val="009F0522"/>
    <w:rsid w:val="00A01B50"/>
    <w:rsid w:val="00A351B0"/>
    <w:rsid w:val="00A35606"/>
    <w:rsid w:val="00A523B9"/>
    <w:rsid w:val="00A60518"/>
    <w:rsid w:val="00BB7587"/>
    <w:rsid w:val="00C00230"/>
    <w:rsid w:val="00C308EC"/>
    <w:rsid w:val="00C34982"/>
    <w:rsid w:val="00C3663B"/>
    <w:rsid w:val="00C53C49"/>
    <w:rsid w:val="00C546D9"/>
    <w:rsid w:val="00CB543D"/>
    <w:rsid w:val="00CC66C9"/>
    <w:rsid w:val="00CD3508"/>
    <w:rsid w:val="00CD69B3"/>
    <w:rsid w:val="00CF75B9"/>
    <w:rsid w:val="00D04BE2"/>
    <w:rsid w:val="00D71DD2"/>
    <w:rsid w:val="00D93048"/>
    <w:rsid w:val="00DC191D"/>
    <w:rsid w:val="00DD3685"/>
    <w:rsid w:val="00DD66F0"/>
    <w:rsid w:val="00DE2FBC"/>
    <w:rsid w:val="00DF1D8B"/>
    <w:rsid w:val="00E07E23"/>
    <w:rsid w:val="00E90641"/>
    <w:rsid w:val="00E93D54"/>
    <w:rsid w:val="00ED74A0"/>
    <w:rsid w:val="00F37C45"/>
    <w:rsid w:val="00F64A73"/>
    <w:rsid w:val="00FA2C17"/>
    <w:rsid w:val="00FE06FF"/>
    <w:rsid w:val="00FF0953"/>
    <w:rsid w:val="01E731C4"/>
    <w:rsid w:val="02264473"/>
    <w:rsid w:val="050253E3"/>
    <w:rsid w:val="0524581C"/>
    <w:rsid w:val="053716F6"/>
    <w:rsid w:val="05FA4BFE"/>
    <w:rsid w:val="06C25032"/>
    <w:rsid w:val="08E74E41"/>
    <w:rsid w:val="099F577F"/>
    <w:rsid w:val="0AA135E8"/>
    <w:rsid w:val="0BF840A9"/>
    <w:rsid w:val="0CFD1647"/>
    <w:rsid w:val="0D203FEB"/>
    <w:rsid w:val="0DC6565A"/>
    <w:rsid w:val="0DE81954"/>
    <w:rsid w:val="0EF92416"/>
    <w:rsid w:val="0F743BC2"/>
    <w:rsid w:val="105F091F"/>
    <w:rsid w:val="110F163A"/>
    <w:rsid w:val="1214337E"/>
    <w:rsid w:val="12961EC0"/>
    <w:rsid w:val="129735F5"/>
    <w:rsid w:val="14B775E0"/>
    <w:rsid w:val="15912C5F"/>
    <w:rsid w:val="16192089"/>
    <w:rsid w:val="17575502"/>
    <w:rsid w:val="18040BF3"/>
    <w:rsid w:val="191C10A7"/>
    <w:rsid w:val="1A3A4363"/>
    <w:rsid w:val="1A70250F"/>
    <w:rsid w:val="1A9538E9"/>
    <w:rsid w:val="1C897248"/>
    <w:rsid w:val="1D342403"/>
    <w:rsid w:val="1D453AD5"/>
    <w:rsid w:val="1E7A3247"/>
    <w:rsid w:val="1FCC3F47"/>
    <w:rsid w:val="1FF70EBC"/>
    <w:rsid w:val="21AE5C79"/>
    <w:rsid w:val="22480C15"/>
    <w:rsid w:val="22873460"/>
    <w:rsid w:val="23837162"/>
    <w:rsid w:val="24A42F7C"/>
    <w:rsid w:val="25D54AB7"/>
    <w:rsid w:val="25F5515A"/>
    <w:rsid w:val="265459C7"/>
    <w:rsid w:val="269B5716"/>
    <w:rsid w:val="26F35A5B"/>
    <w:rsid w:val="273146F3"/>
    <w:rsid w:val="2958018B"/>
    <w:rsid w:val="2A12193E"/>
    <w:rsid w:val="2BEE242F"/>
    <w:rsid w:val="2C167D90"/>
    <w:rsid w:val="2C786927"/>
    <w:rsid w:val="2C964A50"/>
    <w:rsid w:val="2CC26061"/>
    <w:rsid w:val="2D205AFA"/>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B3F33B9"/>
    <w:rsid w:val="3BE24383"/>
    <w:rsid w:val="3C184D10"/>
    <w:rsid w:val="3C200C06"/>
    <w:rsid w:val="3D57169A"/>
    <w:rsid w:val="3D8E5391"/>
    <w:rsid w:val="3E053F67"/>
    <w:rsid w:val="3FDA7EEC"/>
    <w:rsid w:val="3FEA53F0"/>
    <w:rsid w:val="410320E1"/>
    <w:rsid w:val="41F84F3C"/>
    <w:rsid w:val="448378E8"/>
    <w:rsid w:val="44F854BD"/>
    <w:rsid w:val="45626999"/>
    <w:rsid w:val="46204C66"/>
    <w:rsid w:val="47A17442"/>
    <w:rsid w:val="47BF33B2"/>
    <w:rsid w:val="4860600B"/>
    <w:rsid w:val="4A38627E"/>
    <w:rsid w:val="4A3F5480"/>
    <w:rsid w:val="4A5015E0"/>
    <w:rsid w:val="4BBE6A82"/>
    <w:rsid w:val="4C59349D"/>
    <w:rsid w:val="4E0137E6"/>
    <w:rsid w:val="4EF46C01"/>
    <w:rsid w:val="4F980367"/>
    <w:rsid w:val="518F0859"/>
    <w:rsid w:val="52951C26"/>
    <w:rsid w:val="52AF15D1"/>
    <w:rsid w:val="538A6632"/>
    <w:rsid w:val="544B1705"/>
    <w:rsid w:val="55616AAB"/>
    <w:rsid w:val="556B01A6"/>
    <w:rsid w:val="573E2EB7"/>
    <w:rsid w:val="57507B1B"/>
    <w:rsid w:val="57A84AF4"/>
    <w:rsid w:val="57D73840"/>
    <w:rsid w:val="589F66DB"/>
    <w:rsid w:val="5AFA2561"/>
    <w:rsid w:val="5B76666A"/>
    <w:rsid w:val="5CAA4098"/>
    <w:rsid w:val="5CB378C5"/>
    <w:rsid w:val="5D6A41D1"/>
    <w:rsid w:val="5E7B3341"/>
    <w:rsid w:val="60372E6A"/>
    <w:rsid w:val="61693D2A"/>
    <w:rsid w:val="617A6D27"/>
    <w:rsid w:val="63C830D7"/>
    <w:rsid w:val="64283A29"/>
    <w:rsid w:val="64B90146"/>
    <w:rsid w:val="66AC6B93"/>
    <w:rsid w:val="66E76BB1"/>
    <w:rsid w:val="67C16A56"/>
    <w:rsid w:val="67E3330A"/>
    <w:rsid w:val="69144407"/>
    <w:rsid w:val="694B2F19"/>
    <w:rsid w:val="6AF40A07"/>
    <w:rsid w:val="6B923E7E"/>
    <w:rsid w:val="6C0D65B6"/>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95F52DC"/>
    <w:rsid w:val="7B2A7C2F"/>
    <w:rsid w:val="7B30422E"/>
    <w:rsid w:val="7C240B22"/>
    <w:rsid w:val="7C8D65EB"/>
    <w:rsid w:val="7D6733BC"/>
    <w:rsid w:val="7E7933A7"/>
    <w:rsid w:val="7FE44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color w:val="000000"/>
      <w:kern w:val="0"/>
    </w:rPr>
  </w:style>
  <w:style w:type="paragraph" w:customStyle="1" w:styleId="1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825</Words>
  <Characters>4705</Characters>
  <Lines>39</Lines>
  <Paragraphs>11</Paragraphs>
  <TotalTime>2</TotalTime>
  <ScaleCrop>false</ScaleCrop>
  <LinksUpToDate>false</LinksUpToDate>
  <CharactersWithSpaces>5519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2022-02-10T02:14:49Z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C401502A590C480B8F479ACF3A135FD6</vt:lpwstr>
  </property>
</Properties>
</file>