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0023-2022-Q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北京奥尔嘉体育咨询有限公司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北京奥尔嘉体育咨询有限公司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北京市东城区安定门外大街138号4层A座407-073</w:t>
            </w:r>
            <w:bookmarkEnd w:id="6"/>
          </w:p>
        </w:tc>
        <w:tc>
          <w:tcPr>
            <w:tcW w:w="1242" w:type="dxa"/>
            <w:vMerge w:val="restart"/>
            <w:vAlign w:val="center"/>
          </w:tcPr>
          <w:p>
            <w:r>
              <w:rPr>
                <w:rFonts w:hint="eastAsia"/>
              </w:rPr>
              <w:t>邮编</w:t>
            </w:r>
          </w:p>
        </w:tc>
        <w:tc>
          <w:tcPr>
            <w:tcW w:w="1771" w:type="dxa"/>
          </w:tcPr>
          <w:p>
            <w:bookmarkStart w:id="7" w:name="注册邮编"/>
            <w:r>
              <w:t>100011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北京市东城区安定门外大街138号4层A座407-073</w:t>
            </w:r>
            <w:bookmarkEnd w:id="8"/>
          </w:p>
        </w:tc>
        <w:tc>
          <w:tcPr>
            <w:tcW w:w="1242" w:type="dxa"/>
            <w:vMerge w:val="continue"/>
            <w:vAlign w:val="center"/>
          </w:tcPr>
          <w:p/>
        </w:tc>
        <w:tc>
          <w:tcPr>
            <w:tcW w:w="1771" w:type="dxa"/>
          </w:tcPr>
          <w:p>
            <w:bookmarkStart w:id="9" w:name="办公邮编"/>
            <w:r>
              <w:t>100011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张浩楠</w:t>
            </w:r>
            <w:bookmarkEnd w:id="10"/>
          </w:p>
        </w:tc>
        <w:tc>
          <w:tcPr>
            <w:tcW w:w="1313" w:type="dxa"/>
            <w:vAlign w:val="center"/>
          </w:tcPr>
          <w:p>
            <w:r>
              <w:rPr>
                <w:rFonts w:hint="eastAsia"/>
              </w:rPr>
              <w:t>电话.</w:t>
            </w:r>
          </w:p>
        </w:tc>
        <w:tc>
          <w:tcPr>
            <w:tcW w:w="2180" w:type="dxa"/>
            <w:vAlign w:val="center"/>
          </w:tcPr>
          <w:p>
            <w:bookmarkStart w:id="11" w:name="联系人电话"/>
            <w:r>
              <w:t>13511048777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鄂宇</w:t>
            </w:r>
            <w:bookmarkEnd w:id="13"/>
          </w:p>
        </w:tc>
        <w:tc>
          <w:tcPr>
            <w:tcW w:w="1313" w:type="dxa"/>
            <w:vAlign w:val="center"/>
          </w:tcPr>
          <w:p>
            <w:r>
              <w:rPr>
                <w:rFonts w:hint="eastAsia"/>
              </w:rPr>
              <w:t>管理者代表</w:t>
            </w:r>
          </w:p>
        </w:tc>
        <w:tc>
          <w:tcPr>
            <w:tcW w:w="2180" w:type="dxa"/>
          </w:tcPr>
          <w:p>
            <w:bookmarkStart w:id="14" w:name="管理者代表"/>
            <w:r>
              <w:t>张浩楠</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sz w:val="21"/>
                <w:szCs w:val="21"/>
                <w:lang w:val="en-US" w:eastAsia="zh-CN"/>
              </w:rPr>
            </w:pPr>
            <w:r>
              <w:rPr>
                <w:rFonts w:hint="default"/>
                <w:sz w:val="21"/>
                <w:szCs w:val="21"/>
                <w:lang w:val="en-US" w:eastAsia="zh-CN"/>
              </w:rPr>
              <w:t>体育运动咨询服务:客户沟通--提出咨询需求（体育活动举办形式、流程）---资料收集--出咨询方案--网络、文档--咨询方案整理--客户线下进行咨询方案分析以及评估---确定咨询方案---咨询方案实施（通过线下活动举办形式，按照方案流程进行实施）---客户验收---客户评价</w:t>
            </w:r>
          </w:p>
          <w:p>
            <w:pPr>
              <w:rPr>
                <w:rFonts w:hint="default"/>
                <w:sz w:val="21"/>
                <w:szCs w:val="21"/>
                <w:lang w:val="en-US" w:eastAsia="zh-CN"/>
              </w:rPr>
            </w:pPr>
            <w:r>
              <w:rPr>
                <w:rFonts w:hint="default"/>
                <w:sz w:val="21"/>
                <w:szCs w:val="21"/>
                <w:lang w:val="en-US" w:eastAsia="zh-CN"/>
              </w:rPr>
              <w:t>体育标准技术服务：客户沟通--提出咨询问题（体育赛事标准、执行方案）--市场调研、材料整理--出具策划方案（文档形式）--客户查收咨询方案--确定策划方案实施可行性--线下实施--客户验收、评价</w:t>
            </w:r>
          </w:p>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2022年01月22日 上午至2022年01月22日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体育咨询（项目咨询、标准制定服务）</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北京奥尔嘉体育咨询有限公司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北京市东城区安定门外大街138号4层A座407-073</w:t>
            </w:r>
          </w:p>
        </w:tc>
        <w:tc>
          <w:tcPr>
            <w:tcW w:w="2267" w:type="dxa"/>
          </w:tcPr>
          <w:p>
            <w:pPr>
              <w:rPr>
                <w:lang w:val="de-DE" w:eastAsia="ja-JP"/>
              </w:rPr>
            </w:pPr>
            <w:r>
              <w:rPr>
                <w:rFonts w:hint="eastAsia" w:ascii="宋体" w:hAnsi="宋体" w:cs="宋体"/>
                <w:color w:val="000000"/>
                <w:kern w:val="0"/>
                <w:szCs w:val="21"/>
              </w:rPr>
              <w:t>北京市东城区安定门外大街138号4层A座407-073</w:t>
            </w:r>
          </w:p>
        </w:tc>
        <w:tc>
          <w:tcPr>
            <w:tcW w:w="571" w:type="dxa"/>
            <w:vAlign w:val="center"/>
          </w:tcPr>
          <w:p>
            <w:pPr>
              <w:rPr>
                <w:rFonts w:hint="default" w:eastAsia="宋体"/>
                <w:lang w:val="en-US" w:eastAsia="zh-CN"/>
              </w:rPr>
            </w:pPr>
            <w:r>
              <w:rPr>
                <w:rFonts w:hint="eastAsia"/>
                <w:lang w:val="en-US" w:eastAsia="zh-CN"/>
              </w:rPr>
              <w:t>12</w:t>
            </w:r>
          </w:p>
        </w:tc>
        <w:tc>
          <w:tcPr>
            <w:tcW w:w="2803" w:type="dxa"/>
            <w:vAlign w:val="center"/>
          </w:tcPr>
          <w:p>
            <w:pPr>
              <w:rPr>
                <w:lang w:eastAsia="ja-JP"/>
              </w:rPr>
            </w:pPr>
            <w:r>
              <w:rPr>
                <w:rFonts w:ascii="宋体" w:hAnsi="宋体" w:cs="宋体"/>
                <w:color w:val="000000"/>
                <w:kern w:val="0"/>
                <w:szCs w:val="21"/>
              </w:rPr>
              <w:t>体育咨询（项目咨询、标准制定服务）</w:t>
            </w:r>
          </w:p>
        </w:tc>
        <w:tc>
          <w:tcPr>
            <w:tcW w:w="669" w:type="dxa"/>
            <w:vAlign w:val="center"/>
          </w:tcPr>
          <w:p>
            <w:pPr>
              <w:rPr>
                <w:lang w:eastAsia="ja-JP"/>
              </w:rPr>
            </w:pPr>
            <w:r>
              <w:rPr>
                <w:rFonts w:hint="eastAsia" w:ascii="宋体" w:hAnsi="宋体"/>
                <w:snapToGrid w:val="0"/>
                <w:color w:val="000000"/>
                <w:kern w:val="0"/>
                <w:sz w:val="18"/>
                <w:szCs w:val="21"/>
              </w:rPr>
              <w:t>GB/T19001-2016/ISO9001:2015</w:t>
            </w: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tc>
        <w:tc>
          <w:tcPr>
            <w:tcW w:w="2179" w:type="dxa"/>
            <w:vAlign w:val="center"/>
          </w:tcPr>
          <w:p>
            <w:r>
              <w:t>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李雅静</w:t>
            </w:r>
          </w:p>
        </w:tc>
        <w:tc>
          <w:tcPr>
            <w:tcW w:w="1089" w:type="dxa"/>
            <w:vAlign w:val="center"/>
          </w:tcPr>
          <w:p>
            <w:r>
              <w:t>组员</w:t>
            </w:r>
          </w:p>
        </w:tc>
        <w:tc>
          <w:tcPr>
            <w:tcW w:w="711" w:type="dxa"/>
            <w:vAlign w:val="center"/>
          </w:tcPr>
          <w:p>
            <w:r>
              <w:t>女</w:t>
            </w:r>
          </w:p>
        </w:tc>
        <w:tc>
          <w:tcPr>
            <w:tcW w:w="3870" w:type="dxa"/>
            <w:vAlign w:val="center"/>
          </w:tcPr>
          <w:p>
            <w:r>
              <w:t>2021-N1QMS-2218164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■主管部门</w:t>
                  </w:r>
                </w:p>
              </w:tc>
              <w:tc>
                <w:tcPr>
                  <w:tcW w:w="6912" w:type="dxa"/>
                  <w:vAlign w:val="top"/>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■供方</w:t>
                  </w:r>
                </w:p>
              </w:tc>
              <w:tc>
                <w:tcPr>
                  <w:tcW w:w="6912" w:type="dxa"/>
                  <w:vAlign w:val="top"/>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■顾客</w:t>
                  </w:r>
                </w:p>
              </w:tc>
              <w:tc>
                <w:tcPr>
                  <w:tcW w:w="6912" w:type="dxa"/>
                  <w:vAlign w:val="top"/>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vAlign w:val="top"/>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■员工</w:t>
                  </w:r>
                </w:p>
              </w:tc>
              <w:tc>
                <w:tcPr>
                  <w:tcW w:w="6912" w:type="dxa"/>
                  <w:vAlign w:val="top"/>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■投资方</w:t>
                  </w:r>
                </w:p>
              </w:tc>
              <w:tc>
                <w:tcPr>
                  <w:tcW w:w="6912" w:type="dxa"/>
                  <w:vAlign w:val="top"/>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rPr>
            </w:pPr>
            <w:r>
              <w:rPr>
                <w:rFonts w:hint="eastAsia"/>
              </w:rPr>
              <w:t>最高管理者制定了文件化的管理体系方针：</w:t>
            </w:r>
          </w:p>
          <w:p>
            <w:pPr>
              <w:rPr>
                <w:rFonts w:hint="eastAsia"/>
              </w:rPr>
            </w:pPr>
            <w:r>
              <w:rPr>
                <w:rFonts w:hint="eastAsia"/>
              </w:rPr>
              <w:t>科学领先，顾客满意，持续改进，行业领先，质量一流，服务一流。</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bookmarkStart w:id="34" w:name="_GoBack"/>
            <w:bookmarkEnd w:id="34"/>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内部管理风险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1.在管理体系中重点体现总经理的作用，确保总经理能够履行承诺。2.通过对体系的监视和测量，配置足够的资源</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szCs w:val="21"/>
                    </w:rPr>
                    <w:t>内部人员管理风险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人员招聘和培训</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内部信息化文件管理风险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失效文件及时回收销毁</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外部顾客监视和测量风险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对所接到的客户投诉登记汇总，安排专人负责处理并及时回复客户，确保产品质量和交期，与客户保持积极沟通，以确保客户的满意</w:t>
                  </w:r>
                </w:p>
              </w:tc>
              <w:tc>
                <w:tcPr>
                  <w:tcW w:w="1717" w:type="dxa"/>
                  <w:vAlign w:val="top"/>
                </w:tcPr>
                <w:p>
                  <w:pPr>
                    <w:rPr>
                      <w:rFonts w:ascii="Times New Roman" w:hAnsi="Times New Roman" w:eastAsia="宋体" w:cs="Times New Roman"/>
                      <w:kern w:val="2"/>
                      <w:sz w:val="21"/>
                      <w:szCs w:val="24"/>
                      <w:lang w:val="en-US" w:eastAsia="zh-CN" w:bidi="ar-SA"/>
                    </w:rPr>
                  </w:pPr>
                  <w: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项目验收合格率≥98%</w:t>
                  </w:r>
                  <w:r>
                    <w:rPr>
                      <w:rFonts w:hint="eastAsia" w:asciiTheme="minorEastAsia" w:hAnsiTheme="minorEastAsia" w:eastAsiaTheme="minorEastAsia"/>
                      <w:szCs w:val="21"/>
                    </w:rPr>
                    <w:t>%</w:t>
                  </w:r>
                </w:p>
              </w:tc>
              <w:tc>
                <w:tcPr>
                  <w:tcW w:w="3136" w:type="dxa"/>
                  <w:shd w:val="clear" w:color="auto" w:fill="auto"/>
                  <w:vAlign w:val="center"/>
                </w:tcPr>
                <w:p>
                  <w:pPr>
                    <w:shd w:val="clear" w:color="auto" w:fill="C7DAF1" w:themeFill="text2" w:themeFillTint="32"/>
                    <w:rPr>
                      <w:lang w:val="en-GB"/>
                    </w:rPr>
                  </w:pPr>
                  <w:r>
                    <w:rPr>
                      <w:rFonts w:hint="eastAsia" w:asciiTheme="minorEastAsia" w:hAnsiTheme="minorEastAsia" w:eastAsiaTheme="minorEastAsia"/>
                      <w:szCs w:val="21"/>
                      <w:lang w:val="en-US" w:eastAsia="zh-CN"/>
                    </w:rPr>
                    <w:t>验收合格数量</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验收</w:t>
                  </w:r>
                  <w:r>
                    <w:rPr>
                      <w:rFonts w:hint="eastAsia" w:asciiTheme="minorEastAsia" w:hAnsiTheme="minorEastAsia" w:eastAsiaTheme="minorEastAsia"/>
                      <w:szCs w:val="21"/>
                    </w:rPr>
                    <w:t>总数*100%</w:t>
                  </w:r>
                </w:p>
              </w:tc>
              <w:tc>
                <w:tcPr>
                  <w:tcW w:w="1350" w:type="dxa"/>
                  <w:shd w:val="clear" w:color="auto" w:fill="auto"/>
                  <w:vAlign w:val="center"/>
                </w:tcPr>
                <w:p>
                  <w:pPr>
                    <w:shd w:val="clear" w:color="auto" w:fill="C7DAF1" w:themeFill="text2" w:themeFillTint="32"/>
                    <w:rPr>
                      <w:lang w:val="en-GB"/>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Theme="minorEastAsia" w:hAnsiTheme="minorEastAsia" w:eastAsiaTheme="minorEastAsia"/>
                      <w:szCs w:val="21"/>
                    </w:rPr>
                    <w:t>顾客满意率≥9</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w:t>
                  </w:r>
                </w:p>
              </w:tc>
              <w:tc>
                <w:tcPr>
                  <w:tcW w:w="3136" w:type="dxa"/>
                  <w:shd w:val="clear" w:color="auto" w:fill="auto"/>
                  <w:vAlign w:val="center"/>
                </w:tcPr>
                <w:p>
                  <w:pPr>
                    <w:shd w:val="clear" w:color="auto" w:fill="C7DAF1" w:themeFill="text2" w:themeFillTint="32"/>
                    <w:rPr>
                      <w:rFonts w:ascii="宋体" w:hAnsi="宋体"/>
                    </w:rPr>
                  </w:pPr>
                  <w:r>
                    <w:rPr>
                      <w:rFonts w:hint="eastAsia" w:asciiTheme="minorEastAsia" w:hAnsiTheme="minorEastAsia" w:eastAsiaTheme="minorEastAsia"/>
                      <w:szCs w:val="21"/>
                    </w:rPr>
                    <w:t>满意度调查分数/总分数*100%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w:t>
                  </w:r>
                  <w:r>
                    <w:rPr>
                      <w:rFonts w:hint="eastAsia" w:ascii="宋体" w:hAnsi="宋体"/>
                      <w:lang w:val="en-US" w:eastAsia="zh-CN"/>
                    </w:rPr>
                    <w:t>8</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合同履行率100%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合同评审数量/</w:t>
                  </w:r>
                  <w:r>
                    <w:rPr>
                      <w:rFonts w:hint="eastAsia" w:asciiTheme="minorEastAsia" w:hAnsiTheme="minorEastAsia" w:eastAsiaTheme="minorEastAsia"/>
                      <w:szCs w:val="21"/>
                    </w:rPr>
                    <w:t>总数*100%</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ascii="宋体" w:hAnsi="宋体"/>
                      <w:lang w:val="en-GB"/>
                    </w:rPr>
                    <w:t>100%</w:t>
                  </w:r>
                </w:p>
              </w:tc>
            </w:tr>
          </w:tbl>
          <w:p>
            <w:pPr>
              <w:shd w:val="clear" w:color="auto" w:fill="C7DAF1" w:themeFill="text2" w:themeFillTint="32"/>
            </w:pPr>
            <w:r>
              <w:rPr>
                <w:rFonts w:hint="eastAsia"/>
              </w:rPr>
              <w:t>■目标已实现</w:t>
            </w:r>
          </w:p>
          <w:p>
            <w:pPr>
              <w:shd w:val="clear" w:color="auto" w:fill="C7DAF1" w:themeFill="text2" w:themeFillTint="32"/>
            </w:pPr>
            <w:r>
              <w:rPr>
                <w:rFonts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w:t>
            </w:r>
            <w:r>
              <w:rPr>
                <w:rFonts w:hint="eastAsia"/>
              </w:rPr>
              <w:t>平方米；生产车间</w:t>
            </w:r>
            <w:r>
              <w:rPr>
                <w:rFonts w:hint="eastAsia"/>
                <w:u w:val="single"/>
              </w:rPr>
              <w:t xml:space="preserve"> 0  </w:t>
            </w:r>
            <w:r>
              <w:rPr>
                <w:rFonts w:hint="eastAsia"/>
              </w:rPr>
              <w:t>个；库房</w:t>
            </w:r>
            <w:r>
              <w:rPr>
                <w:rFonts w:hint="eastAsia"/>
                <w:u w:val="single"/>
              </w:rPr>
              <w:t xml:space="preserve">  0  </w:t>
            </w:r>
            <w:r>
              <w:rPr>
                <w:rFonts w:hint="eastAsia"/>
              </w:rPr>
              <w:t>个；实验室</w:t>
            </w:r>
            <w:r>
              <w:rPr>
                <w:rFonts w:hint="eastAsia"/>
                <w:u w:val="single"/>
              </w:rPr>
              <w:t xml:space="preserve">  0 </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电话，电脑、打印机、复印机、空调、办公桌椅等</w:t>
            </w:r>
          </w:p>
          <w:p>
            <w:pPr>
              <w:shd w:val="clear" w:color="auto" w:fill="C7DAF1" w:themeFill="text2" w:themeFillTint="32"/>
            </w:pPr>
            <w:r>
              <w:rPr>
                <w:rFonts w:hint="eastAsia"/>
              </w:rPr>
              <w:t>特种设备：</w:t>
            </w:r>
            <w:r>
              <w:rPr>
                <w:rFonts w:ascii="Wingdings" w:hAnsi="Wingdings"/>
              </w:rPr>
              <w:t></w:t>
            </w:r>
            <w:r>
              <w:rPr>
                <w:rFonts w:hint="eastAsia"/>
              </w:rPr>
              <w:t xml:space="preserve">叉车 </w:t>
            </w:r>
            <w:r>
              <w:rPr>
                <w:rFonts w:ascii="Wingdings" w:hAnsi="Wingdings"/>
              </w:rPr>
              <w:t></w:t>
            </w:r>
            <w:r>
              <w:rPr>
                <w:rFonts w:hint="eastAsia"/>
              </w:rPr>
              <w:t xml:space="preserve">行车 </w:t>
            </w:r>
            <w:r>
              <w:rPr>
                <w:rFonts w:ascii="Wingdings" w:hAnsi="Wingdings"/>
              </w:rPr>
              <w:t></w:t>
            </w:r>
            <w:r>
              <w:rPr>
                <w:rFonts w:hint="eastAsia"/>
              </w:rPr>
              <w:t xml:space="preserve">锅炉 </w:t>
            </w:r>
            <w:r>
              <w:rPr>
                <w:rFonts w:ascii="Wingdings" w:hAnsi="Wingdings"/>
              </w:rPr>
              <w:t></w:t>
            </w:r>
            <w:r>
              <w:rPr>
                <w:rFonts w:hint="eastAsia"/>
              </w:rPr>
              <w:t xml:space="preserve">电梯  </w:t>
            </w:r>
            <w:r>
              <w:rPr>
                <w:rFonts w:ascii="Wingdings" w:hAnsi="Wingdings"/>
              </w:rPr>
              <w:t></w:t>
            </w:r>
            <w:r>
              <w:rPr>
                <w:rFonts w:hint="eastAsia"/>
              </w:rPr>
              <w:t xml:space="preserve">压力容器  </w:t>
            </w:r>
            <w:r>
              <w:rPr>
                <w:rFonts w:ascii="Wingdings" w:hAnsi="Wingdings"/>
              </w:rPr>
              <w:t></w:t>
            </w:r>
            <w:r>
              <w:rPr>
                <w:rFonts w:hint="eastAsia"/>
              </w:rPr>
              <w:t xml:space="preserve">压力管道  ■不适用  </w:t>
            </w:r>
          </w:p>
          <w:p>
            <w:pPr>
              <w:shd w:val="clear" w:color="auto" w:fill="C7DAF1" w:themeFill="text2" w:themeFillTint="32"/>
              <w:rPr>
                <w:u w:val="single"/>
              </w:rPr>
            </w:pPr>
            <w:r>
              <w:rPr>
                <w:rFonts w:hint="eastAsia"/>
              </w:rPr>
              <w:t>特种设备管理：</w:t>
            </w:r>
            <w:r>
              <w:rPr>
                <w:rFonts w:ascii="Wingdings" w:hAnsi="Wingdings"/>
              </w:rPr>
              <w:t></w:t>
            </w:r>
            <w:r>
              <w:rPr>
                <w:rFonts w:hint="eastAsia"/>
              </w:rPr>
              <w:t xml:space="preserve">进行了定期检验  </w:t>
            </w:r>
            <w:r>
              <w:rPr>
                <w:rFonts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lang w:val="en-US" w:eastAsia="zh-CN"/>
              </w:rPr>
              <w:t xml:space="preserve"> </w:t>
            </w:r>
            <w:r>
              <w:rPr>
                <w:rFonts w:hint="eastAsia"/>
              </w:rPr>
              <w:t xml:space="preserve">■服务流程检查表  </w:t>
            </w:r>
            <w:r>
              <w:rPr>
                <w:rFonts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ascii="Wingdings" w:hAnsi="Wingdings"/>
              </w:rPr>
              <w:t></w:t>
            </w:r>
            <w:r>
              <w:rPr>
                <w:rFonts w:hint="eastAsia"/>
              </w:rPr>
              <w:t xml:space="preserve">加工工艺 </w:t>
            </w:r>
            <w:r>
              <w:rPr>
                <w:rFonts w:ascii="Wingdings" w:hAnsi="Wingdings"/>
              </w:rPr>
              <w:t></w:t>
            </w:r>
            <w:r>
              <w:rPr>
                <w:rFonts w:hint="eastAsia"/>
              </w:rPr>
              <w:t xml:space="preserve">生产经验  </w:t>
            </w:r>
            <w:r>
              <w:rPr>
                <w:rFonts w:ascii="Wingdings" w:hAnsi="Wingdings"/>
              </w:rPr>
              <w:t></w:t>
            </w:r>
            <w:r>
              <w:rPr>
                <w:rFonts w:hint="eastAsia"/>
              </w:rPr>
              <w:t xml:space="preserve">管理软件  ■市场预测   </w:t>
            </w:r>
            <w:r>
              <w:rPr>
                <w:rFonts w:ascii="Wingdings" w:hAnsi="Wingdings"/>
              </w:rPr>
              <w:t></w:t>
            </w:r>
            <w:r>
              <w:rPr>
                <w:rFonts w:hint="eastAsia"/>
              </w:rPr>
              <w:t>企业标准  ■其他</w:t>
            </w:r>
          </w:p>
          <w:p>
            <w:pPr>
              <w:shd w:val="clear" w:color="auto" w:fill="C7DAF1" w:themeFill="text2" w:themeFillTint="32"/>
            </w:pPr>
            <w:r>
              <w:rPr>
                <w:rFonts w:hint="eastAsia"/>
              </w:rPr>
              <w:t xml:space="preserve">外部知识: ■顾客提供资料 ■产品标准  ■学术交流信息  ■专业会议信息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ascii="Wingdings" w:hAnsi="Wingdings"/>
              </w:rPr>
              <w:t></w:t>
            </w:r>
            <w:r>
              <w:rPr>
                <w:rFonts w:hint="eastAsia"/>
              </w:rPr>
              <w:t xml:space="preserve">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ascii="Wingdings" w:hAnsi="Wingdings"/>
              </w:rPr>
              <w:t></w:t>
            </w:r>
            <w:r>
              <w:rPr>
                <w:rFonts w:hint="eastAsia"/>
              </w:rPr>
              <w:t xml:space="preserve">叉车工 </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组织已确定与质量管理体系相关的内部和外部沟通。 </w:t>
            </w:r>
          </w:p>
          <w:p>
            <w:pPr>
              <w:shd w:val="clear" w:color="auto" w:fill="C7DAF1" w:themeFill="text2" w:themeFillTint="32"/>
            </w:pPr>
            <w:r>
              <w:rPr>
                <w:rFonts w:hint="eastAsia"/>
              </w:rPr>
              <w:t xml:space="preserve">内部沟通方式：■文件发放 </w:t>
            </w:r>
            <w:r>
              <w:rPr>
                <w:rFonts w:ascii="Wingdings" w:hAnsi="Wingdings"/>
              </w:rPr>
              <w:t></w:t>
            </w:r>
            <w:r>
              <w:rPr>
                <w:rFonts w:hint="eastAsia"/>
              </w:rPr>
              <w:t xml:space="preserve">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 xml:space="preserve">其他 </w:t>
            </w:r>
          </w:p>
          <w:p>
            <w:pPr>
              <w:shd w:val="clear" w:color="auto" w:fill="C7DAF1" w:themeFill="text2" w:themeFillTint="32"/>
            </w:pPr>
            <w:r>
              <w:rPr>
                <w:rFonts w:hint="eastAsia"/>
              </w:rPr>
              <w:t xml:space="preserve">外部沟通方式：■宣传材料 ■网站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w:t>
            </w:r>
            <w:r>
              <w:rPr>
                <w:rFonts w:ascii="Wingdings" w:hAnsi="Wingdings"/>
              </w:rPr>
              <w:t></w:t>
            </w:r>
            <w:r>
              <w:rPr>
                <w:rFonts w:hint="eastAsia"/>
              </w:rPr>
              <w:t xml:space="preserve">检测计划   ■接收准则  ■外包控制要求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  ■顾客要求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ascii="Wingdings" w:hAnsi="Wingdings"/>
              </w:rPr>
              <w:t></w:t>
            </w:r>
            <w:r>
              <w:rPr>
                <w:rFonts w:hint="eastAsia"/>
              </w:rPr>
              <w:t xml:space="preserve">原材料采购 ■委托加工  </w:t>
            </w:r>
            <w:r>
              <w:rPr>
                <w:rFonts w:ascii="Wingdings" w:hAnsi="Wingdings"/>
              </w:rPr>
              <w:t></w:t>
            </w:r>
            <w:r>
              <w:rPr>
                <w:rFonts w:hint="eastAsia"/>
              </w:rPr>
              <w:t xml:space="preserve">顾客要求 </w:t>
            </w:r>
            <w:r>
              <w:rPr>
                <w:rFonts w:hint="eastAsia"/>
                <w:b/>
              </w:rPr>
              <w:t>■</w:t>
            </w:r>
            <w:r>
              <w:rPr>
                <w:rFonts w:hint="eastAsia"/>
              </w:rPr>
              <w:t>运输  ■其他：报关</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ascii="宋体" w:hAnsi="宋体" w:cs="宋体"/>
                      <w:color w:val="000000"/>
                      <w:kern w:val="0"/>
                      <w:szCs w:val="21"/>
                    </w:rPr>
                    <w:t>体育咨询（项目咨询、标准制定服务）</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服务过程</w:t>
                  </w:r>
                </w:p>
              </w:tc>
              <w:tc>
                <w:tcPr>
                  <w:tcW w:w="3265" w:type="dxa"/>
                  <w:vAlign w:val="top"/>
                </w:tcPr>
                <w:p>
                  <w:pPr>
                    <w:shd w:val="clear" w:color="auto" w:fill="C7DAF1" w:themeFill="text2" w:themeFillTint="32"/>
                    <w:jc w:val="left"/>
                    <w:rPr>
                      <w:rFonts w:hint="eastAsia"/>
                      <w:lang w:val="en-US" w:eastAsia="zh-CN"/>
                    </w:rPr>
                  </w:pPr>
                  <w:r>
                    <w:rPr>
                      <w:rFonts w:hint="eastAsia"/>
                      <w:lang w:val="en-US" w:eastAsia="zh-CN"/>
                    </w:rPr>
                    <w:t>服务流程、人员培训、</w:t>
                  </w:r>
                  <w:r>
                    <w:rPr>
                      <w:rFonts w:hint="eastAsia"/>
                    </w:rPr>
                    <w:t>作业指导书</w:t>
                  </w:r>
                  <w:r>
                    <w:rPr>
                      <w:rFonts w:hint="eastAsia"/>
                      <w:lang w:eastAsia="zh-CN"/>
                    </w:rPr>
                    <w:t>、</w:t>
                  </w:r>
                  <w:r>
                    <w:rPr>
                      <w:rFonts w:hint="eastAsia"/>
                    </w:rPr>
                    <w:t>设备</w:t>
                  </w:r>
                  <w:r>
                    <w:rPr>
                      <w:rFonts w:hint="eastAsia"/>
                      <w:lang w:eastAsia="zh-CN"/>
                    </w:rPr>
                    <w:t>、</w:t>
                  </w:r>
                  <w:r>
                    <w:rPr>
                      <w:rFonts w:hint="eastAsia"/>
                      <w:lang w:val="en-US" w:eastAsia="zh-CN"/>
                    </w:rPr>
                    <w:t>日常工作检查</w:t>
                  </w:r>
                </w:p>
                <w:p>
                  <w:pPr>
                    <w:pStyle w:val="11"/>
                    <w:rPr>
                      <w:rFonts w:hint="default" w:ascii="Times New Roman" w:hAnsi="Times New Roman" w:eastAsia="宋体" w:cs="Times New Roman"/>
                      <w:bCs/>
                      <w:spacing w:val="1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 xml:space="preserve">人员编号 </w:t>
            </w:r>
            <w:r>
              <w:rPr>
                <w:rFonts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■设备 </w:t>
            </w:r>
            <w:r>
              <w:rPr>
                <w:rFonts w:ascii="Wingdings" w:hAnsi="Wingdings"/>
              </w:rPr>
              <w:t></w:t>
            </w:r>
            <w:r>
              <w:rPr>
                <w:rFonts w:hint="eastAsia"/>
              </w:rPr>
              <w:t xml:space="preserve">检测设备 ■图纸 </w:t>
            </w:r>
            <w:r>
              <w:rPr>
                <w:rFonts w:ascii="Wingdings" w:hAnsi="Wingdings"/>
              </w:rPr>
              <w:t></w:t>
            </w:r>
            <w:r>
              <w:rPr>
                <w:rFonts w:hint="eastAsia"/>
              </w:rPr>
              <w:t xml:space="preserve">配方 ■个人信息 </w:t>
            </w:r>
            <w:r>
              <w:rPr>
                <w:rFonts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 </w:t>
            </w:r>
            <w:r>
              <w:rPr>
                <w:rFonts w:ascii="Wingdings" w:hAnsi="Wingdings"/>
              </w:rPr>
              <w:t></w:t>
            </w:r>
            <w:r>
              <w:rPr>
                <w:rFonts w:hint="eastAsia"/>
              </w:rPr>
              <w:t xml:space="preserve">维修 </w:t>
            </w:r>
            <w:r>
              <w:rPr>
                <w:rFonts w:ascii="Wingdings" w:hAnsi="Wingdings"/>
              </w:rPr>
              <w:t></w:t>
            </w:r>
            <w:r>
              <w:rPr>
                <w:rFonts w:hint="eastAsia"/>
              </w:rPr>
              <w:t xml:space="preserve">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ascii="Wingdings" w:hAnsi="Wingdings"/>
              </w:rPr>
              <w:t></w:t>
            </w:r>
            <w:r>
              <w:rPr>
                <w:rFonts w:hint="eastAsia"/>
              </w:rPr>
              <w:t xml:space="preserve">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ascii="Wingdings" w:hAnsi="Wingdings"/>
              </w:rPr>
              <w:t></w:t>
            </w:r>
            <w:r>
              <w:rPr>
                <w:rFonts w:hint="eastAsia"/>
              </w:rPr>
              <w:t xml:space="preserve">顾客座谈 </w:t>
            </w:r>
            <w:r>
              <w:rPr>
                <w:rFonts w:ascii="Wingdings" w:hAnsi="Wingdings"/>
              </w:rPr>
              <w:t></w:t>
            </w:r>
            <w:r>
              <w:rPr>
                <w:rFonts w:hint="eastAsia"/>
              </w:rPr>
              <w:t xml:space="preserve">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2</w:t>
            </w:r>
          </w:p>
        </w:tc>
        <w:tc>
          <w:tcPr>
            <w:tcW w:w="650" w:type="dxa"/>
            <w:vAlign w:val="center"/>
          </w:tcPr>
          <w:p>
            <w:pPr>
              <w:shd w:val="clear" w:color="auto" w:fill="C7DAF1" w:themeFill="text2" w:themeFillTint="32"/>
              <w:rPr>
                <w:lang w:eastAsia="ja-JP"/>
              </w:rPr>
            </w:pPr>
            <w:r>
              <w:rPr>
                <w:rFonts w:hint="eastAsia"/>
              </w:rPr>
              <w:t>2</w:t>
            </w:r>
          </w:p>
        </w:tc>
        <w:tc>
          <w:tcPr>
            <w:tcW w:w="649" w:type="dxa"/>
            <w:vAlign w:val="center"/>
          </w:tcPr>
          <w:p>
            <w:pPr>
              <w:shd w:val="clear" w:color="auto" w:fill="C7DAF1" w:themeFill="text2" w:themeFillTint="32"/>
              <w:rPr>
                <w:lang w:eastAsia="ja-JP"/>
              </w:rPr>
            </w:pPr>
            <w:r>
              <w:rPr>
                <w:rFonts w:hint="eastAsia"/>
              </w:rPr>
              <w:t>2</w:t>
            </w:r>
          </w:p>
        </w:tc>
        <w:tc>
          <w:tcPr>
            <w:tcW w:w="650" w:type="dxa"/>
            <w:vAlign w:val="center"/>
          </w:tcPr>
          <w:p>
            <w:pPr>
              <w:shd w:val="clear" w:color="auto" w:fill="C7DAF1" w:themeFill="text2" w:themeFillTint="32"/>
              <w:rPr>
                <w:lang w:eastAsia="ja-JP"/>
              </w:rPr>
            </w:pPr>
            <w:r>
              <w:rPr>
                <w:rFonts w:hint="eastAsia"/>
              </w:rPr>
              <w:t>2</w:t>
            </w:r>
          </w:p>
        </w:tc>
        <w:tc>
          <w:tcPr>
            <w:tcW w:w="650" w:type="dxa"/>
            <w:vAlign w:val="center"/>
          </w:tcPr>
          <w:p>
            <w:pPr>
              <w:shd w:val="clear" w:color="auto" w:fill="C7DAF1" w:themeFill="text2" w:themeFillTint="32"/>
              <w:rPr>
                <w:lang w:eastAsia="ja-JP"/>
              </w:rPr>
            </w:pPr>
            <w:r>
              <w:rPr>
                <w:rFonts w:hint="eastAsia"/>
              </w:rPr>
              <w:t>1</w:t>
            </w:r>
          </w:p>
        </w:tc>
        <w:tc>
          <w:tcPr>
            <w:tcW w:w="649" w:type="dxa"/>
            <w:tcBorders>
              <w:bottom w:val="single" w:color="auto" w:sz="4" w:space="0"/>
            </w:tcBorders>
            <w:vAlign w:val="center"/>
          </w:tcPr>
          <w:p>
            <w:pPr>
              <w:shd w:val="clear" w:color="auto" w:fill="C7DAF1" w:themeFill="text2" w:themeFillTint="32"/>
              <w:rPr>
                <w:rFonts w:hint="eastAsia" w:eastAsia="宋体"/>
                <w:lang w:eastAsia="zh-CN"/>
              </w:rPr>
            </w:pPr>
            <w:r>
              <w:rPr>
                <w:rFonts w:hint="eastAsia"/>
                <w:lang w:val="en-US" w:eastAsia="zh-CN"/>
              </w:rPr>
              <w:t>3</w:t>
            </w:r>
          </w:p>
        </w:tc>
        <w:tc>
          <w:tcPr>
            <w:tcW w:w="650" w:type="dxa"/>
            <w:tcBorders>
              <w:bottom w:val="single" w:color="auto" w:sz="4" w:space="0"/>
            </w:tcBorders>
            <w:vAlign w:val="center"/>
          </w:tcPr>
          <w:p>
            <w:pPr>
              <w:shd w:val="clear" w:color="auto" w:fill="C7DAF1" w:themeFill="text2" w:themeFillTint="32"/>
              <w:rPr>
                <w:lang w:eastAsia="ja-JP"/>
              </w:rPr>
            </w:pPr>
            <w:r>
              <w:rPr>
                <w:rFonts w:hint="eastAsia"/>
              </w:rPr>
              <w:t>1</w:t>
            </w:r>
          </w:p>
        </w:tc>
        <w:tc>
          <w:tcPr>
            <w:tcW w:w="650" w:type="dxa"/>
            <w:tcBorders>
              <w:bottom w:val="single" w:color="auto" w:sz="4" w:space="0"/>
            </w:tcBorders>
            <w:vAlign w:val="center"/>
          </w:tcPr>
          <w:p>
            <w:pPr>
              <w:shd w:val="clear" w:color="auto" w:fill="C7DAF1" w:themeFill="text2" w:themeFillTint="32"/>
              <w:rPr>
                <w:lang w:eastAsia="ja-JP"/>
              </w:rPr>
            </w:pPr>
            <w:r>
              <w:rPr>
                <w:rFonts w:hint="eastAsia"/>
              </w:rPr>
              <w:t>1</w:t>
            </w:r>
          </w:p>
        </w:tc>
        <w:tc>
          <w:tcPr>
            <w:tcW w:w="649" w:type="dxa"/>
            <w:tcBorders>
              <w:bottom w:val="single" w:color="auto" w:sz="4" w:space="0"/>
            </w:tcBorders>
            <w:vAlign w:val="center"/>
          </w:tcPr>
          <w:p>
            <w:pPr>
              <w:shd w:val="clear" w:color="auto" w:fill="C7DAF1" w:themeFill="text2" w:themeFillTint="32"/>
              <w:rPr>
                <w:lang w:eastAsia="ja-JP"/>
              </w:rPr>
            </w:pPr>
            <w:r>
              <w:rPr>
                <w:rFonts w:hint="eastAsia"/>
              </w:rPr>
              <w:t>1</w:t>
            </w:r>
          </w:p>
        </w:tc>
        <w:tc>
          <w:tcPr>
            <w:tcW w:w="650" w:type="dxa"/>
            <w:tcBorders>
              <w:bottom w:val="single" w:color="auto" w:sz="4" w:space="0"/>
            </w:tcBorders>
            <w:vAlign w:val="center"/>
          </w:tcPr>
          <w:p>
            <w:pPr>
              <w:shd w:val="clear" w:color="auto" w:fill="C7DAF1" w:themeFill="text2" w:themeFillTint="32"/>
              <w:rPr>
                <w:lang w:eastAsia="ja-JP"/>
              </w:rPr>
            </w:pPr>
            <w:r>
              <w:rPr>
                <w:rFonts w:hint="eastAsia"/>
              </w:rPr>
              <w:t>1</w:t>
            </w:r>
          </w:p>
        </w:tc>
        <w:tc>
          <w:tcPr>
            <w:tcW w:w="650" w:type="dxa"/>
            <w:tcBorders>
              <w:bottom w:val="single" w:color="auto" w:sz="4" w:space="0"/>
            </w:tcBorders>
            <w:vAlign w:val="center"/>
          </w:tcPr>
          <w:p>
            <w:pPr>
              <w:shd w:val="clear" w:color="auto" w:fill="C7DAF1" w:themeFill="text2" w:themeFillTint="32"/>
              <w:rPr>
                <w:lang w:eastAsia="ja-JP"/>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r>
              <w:rPr>
                <w:rFonts w:hint="eastAsia"/>
                <w:lang w:val="en-US" w:eastAsia="zh-CN"/>
              </w:rPr>
              <w:t>1</w:t>
            </w: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r>
        <w:br w:type="page"/>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9266A80"/>
    <w:rsid w:val="4C9C0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2022-01-25T13:35:30Z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