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0623-2019-E-2022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嘉兴康马士箱包有限公司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E:ISC-E-2020-0477,Q:</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91330400782910366X</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E:45,Q:45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嘉兴康马士箱包有限公司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E：箱包的生产及其所涉及的环境管理活动</w:t>
            </w:r>
          </w:p>
          <w:p w:rsidR="00E604D8">
            <w:pPr>
              <w:snapToGrid w:val="0"/>
              <w:spacing w:line="0" w:lineRule="atLeast"/>
              <w:jc w:val="left"/>
              <w:rPr>
                <w:sz w:val="22"/>
                <w:szCs w:val="22"/>
              </w:rPr>
            </w:pPr>
            <w:r>
              <w:rPr>
                <w:sz w:val="22"/>
                <w:szCs w:val="22"/>
              </w:rPr>
              <w:t>Q：箱包的生产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嘉兴市秀洲区油车港嘉兴日商投资区兴港路南侧</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嘉兴市秀洲区油车港嘉兴日商投资区兴港路南侧</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嘉兴康马士箱包有限公司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E:ISC-E-2020-0477,Q:</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嘉兴市秀洲区油车港嘉兴日商投资区兴港路南侧</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