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嘉善金荣轴承有限公司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</w:rPr>
              <w:t xml:space="preserve">杨春秋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现场摆放</w:t>
            </w:r>
            <w:r>
              <w:rPr>
                <w:rFonts w:hint="eastAsia" w:ascii="楷体" w:hAnsi="楷体" w:eastAsia="楷体"/>
              </w:rPr>
              <w:t>的产品上</w:t>
            </w:r>
            <w:r>
              <w:rPr>
                <w:rFonts w:hint="eastAsia" w:ascii="楷体" w:hAnsi="楷体" w:eastAsia="楷体"/>
                <w:lang w:val="en-US" w:eastAsia="zh-CN"/>
              </w:rPr>
              <w:t>无</w:t>
            </w:r>
            <w:r>
              <w:rPr>
                <w:rFonts w:hint="eastAsia" w:ascii="楷体" w:hAnsi="楷体" w:eastAsia="楷体"/>
              </w:rPr>
              <w:t>产品状态标识卡，</w:t>
            </w:r>
            <w:r>
              <w:rPr>
                <w:rFonts w:hint="eastAsia" w:ascii="楷体" w:hAnsi="楷体" w:eastAsia="楷体"/>
                <w:lang w:val="en-US" w:eastAsia="zh-CN"/>
              </w:rPr>
              <w:t>未标清半成品、成品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A43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2022-02-28T05:16:47Z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