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襄阳砼州建材科技有限公司</w:t>
            </w:r>
            <w:bookmarkEnd w:id="0"/>
            <w:r>
              <w:rPr>
                <w:rFonts w:hint="eastAsia"/>
                <w:color w:val="000000"/>
                <w:sz w:val="24"/>
                <w:szCs w:val="24"/>
              </w:rPr>
              <w:t xml:space="preserve">                 陪同人员：</w:t>
            </w:r>
            <w:r>
              <w:rPr>
                <w:rFonts w:hint="eastAsia"/>
                <w:color w:val="000000"/>
                <w:sz w:val="24"/>
                <w:szCs w:val="24"/>
                <w:lang w:val="en-US" w:eastAsia="zh-CN"/>
              </w:rPr>
              <w:t>张云</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伍光华、</w:t>
            </w:r>
            <w:r>
              <w:rPr>
                <w:rFonts w:hint="eastAsia"/>
                <w:color w:val="000000"/>
                <w:sz w:val="24"/>
                <w:szCs w:val="24"/>
              </w:rPr>
              <w:t>周文，喻荣秋，王琳</w:t>
            </w:r>
            <w:bookmarkEnd w:id="1"/>
            <w:r>
              <w:rPr>
                <w:rFonts w:hint="eastAsia"/>
                <w:color w:val="000000"/>
                <w:sz w:val="24"/>
                <w:szCs w:val="24"/>
              </w:rPr>
              <w:t xml:space="preserve">                     审核时间：</w:t>
            </w:r>
            <w:bookmarkStart w:id="2" w:name="审核日期"/>
            <w:r>
              <w:rPr>
                <w:color w:val="000000"/>
              </w:rPr>
              <w:t>2022年01月10日 上午至2022年01月10日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bookmarkStart w:id="3" w:name="机构代码"/>
            <w:r>
              <w:rPr>
                <w:sz w:val="22"/>
                <w:szCs w:val="22"/>
                <w:u w:val="single"/>
              </w:rPr>
              <w:t>914206070635352640</w:t>
            </w:r>
            <w:bookmarkEnd w:id="3"/>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2013年3月26日至长期</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新环建筑材料研发、生产、销售；预拌混凝土、砂浆、预制构件、混凝土外加剂（不含化学危险品）的加工、生产、销售；混凝土搅拌车、泵车、拖泵的租赁；道路普通货物运输。。。。（涉及许可经营项目，应取得相关部门许可后方可经营）</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t>预拌混凝土的生产及销售</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建筑业企业资质证书</w:t>
            </w:r>
            <w:r>
              <w:rPr>
                <w:rFonts w:hint="eastAsia"/>
                <w:b/>
                <w:bCs/>
                <w:color w:val="000000"/>
                <w:szCs w:val="21"/>
              </w:rPr>
              <w:t>》</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sz w:val="22"/>
                <w:szCs w:val="22"/>
                <w:u w:val="single"/>
              </w:rPr>
              <w:t>914206070635352640</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2022年6月30日</w:t>
            </w:r>
            <w:r>
              <w:rPr>
                <w:rFonts w:hint="eastAsia"/>
                <w:color w:val="000000"/>
                <w:szCs w:val="21"/>
              </w:rPr>
              <w:t>；</w:t>
            </w:r>
          </w:p>
          <w:p>
            <w:pPr>
              <w:spacing w:line="440" w:lineRule="exact"/>
              <w:ind w:firstLine="420" w:firstLineChars="200"/>
              <w:rPr>
                <w:color w:val="000000"/>
                <w:szCs w:val="21"/>
                <w:u w:val="single"/>
              </w:rPr>
            </w:pPr>
          </w:p>
          <w:p>
            <w:pPr>
              <w:spacing w:line="440" w:lineRule="exact"/>
              <w:rPr>
                <w:rFonts w:hint="default"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预拌混凝土专业承包不分等级</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p>
          <w:p>
            <w:pPr>
              <w:rPr>
                <w:color w:val="000000"/>
              </w:rPr>
            </w:pPr>
            <w:r>
              <w:rPr>
                <w:rFonts w:hint="eastAsia"/>
                <w:color w:val="000000"/>
              </w:rPr>
              <w:t>与《营业执照》和《</w:t>
            </w:r>
            <w:r>
              <w:rPr>
                <w:rFonts w:hint="eastAsia"/>
                <w:b/>
                <w:bCs/>
                <w:color w:val="000000"/>
                <w:szCs w:val="21"/>
                <w:lang w:val="en-US" w:eastAsia="zh-CN"/>
              </w:rPr>
              <w:t>建筑业企业资质证书</w:t>
            </w:r>
            <w:r>
              <w:rPr>
                <w:rFonts w:hint="eastAsia"/>
                <w:color w:val="000000"/>
              </w:rPr>
              <w:t>》内容一致。</w:t>
            </w:r>
          </w:p>
          <w:p>
            <w:pPr>
              <w:rPr>
                <w:color w:val="000000"/>
              </w:rPr>
            </w:pPr>
          </w:p>
          <w:p>
            <w:pPr>
              <w:rPr>
                <w:color w:val="000000"/>
              </w:rPr>
            </w:pPr>
            <w:r>
              <w:rPr>
                <w:rFonts w:hint="eastAsia"/>
                <w:color w:val="000000"/>
              </w:rPr>
              <w:t>经营地址：</w:t>
            </w:r>
            <w:bookmarkStart w:id="4" w:name="生产地址"/>
            <w:r>
              <w:rPr>
                <w:sz w:val="21"/>
                <w:szCs w:val="21"/>
              </w:rPr>
              <w:t>襄阳市襄州区张湾街道办事处洪山头居委会六组</w:t>
            </w:r>
            <w:bookmarkEnd w:id="4"/>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rFonts w:hint="eastAsia"/>
                <w:sz w:val="20"/>
              </w:rPr>
            </w:pPr>
            <w:r>
              <w:rPr>
                <w:rFonts w:hint="eastAsia"/>
                <w:sz w:val="20"/>
              </w:rPr>
              <w:t>购货（需方）单位提出委托和混凝土质量技术要求→双方签订供需合同并明确双方责任→下达生产任务→请混凝土申配合比、依据配合比备料、进行原材料检验→测砂石含水率、调整砂石和用水量、调整好的配合比输入微机→按配合比要求计量（称重）→搅拌（定时控制）→出料（测塌落度、制作试块）→装入罐车→运输（至需方指定地点）→浇筑</w:t>
            </w:r>
          </w:p>
          <w:p>
            <w:pPr>
              <w:rPr>
                <w:rFonts w:hint="eastAsia"/>
                <w:sz w:val="20"/>
              </w:rPr>
            </w:pPr>
            <w:r>
              <w:rPr>
                <w:rFonts w:hint="eastAsia" w:asciiTheme="minorEastAsia" w:hAnsiTheme="minorEastAsia" w:eastAsiaTheme="minorEastAsia" w:cstheme="minorEastAsia"/>
                <w:bCs/>
                <w:sz w:val="18"/>
                <w:szCs w:val="18"/>
              </w:rPr>
              <w:t>销售流程：顾客沟通—合同评审—合同/订单签订—产品采购—产品验证—交付—售后服务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50</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21"/>
              </w:rPr>
              <w:t>人</w:t>
            </w:r>
            <w:r>
              <w:rPr>
                <w:rFonts w:hint="eastAsia"/>
                <w:color w:val="000000"/>
                <w:szCs w:val="21"/>
                <w:lang w:val="en-US" w:eastAsia="zh-CN"/>
              </w:rPr>
              <w:t>9</w:t>
            </w:r>
            <w:r>
              <w:rPr>
                <w:rFonts w:hint="eastAsia"/>
                <w:color w:val="000000"/>
                <w:szCs w:val="18"/>
              </w:rPr>
              <w:t>；操作人员</w:t>
            </w:r>
            <w:r>
              <w:rPr>
                <w:rFonts w:hint="eastAsia"/>
                <w:color w:val="000000"/>
                <w:szCs w:val="18"/>
                <w:lang w:val="en-US" w:eastAsia="zh-CN"/>
              </w:rPr>
              <w:t>41</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04</w:t>
            </w:r>
            <w:r>
              <w:rPr>
                <w:rFonts w:hint="eastAsia"/>
                <w:color w:val="000000"/>
                <w:szCs w:val="18"/>
              </w:rPr>
              <w:t>月</w:t>
            </w:r>
            <w:r>
              <w:rPr>
                <w:rFonts w:hint="eastAsia"/>
                <w:color w:val="000000"/>
                <w:szCs w:val="18"/>
                <w:lang w:val="en-US" w:eastAsia="zh-CN"/>
              </w:rPr>
              <w:t>06</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20</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default"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汽车维修</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标语 □</w:t>
            </w:r>
            <w:r>
              <w:rPr>
                <w:rFonts w:hint="eastAsia"/>
                <w:color w:val="000000"/>
                <w:spacing w:val="-2"/>
                <w:szCs w:val="21"/>
              </w:rPr>
              <w:t>展板</w:t>
            </w:r>
            <w:r>
              <w:rPr>
                <w:rFonts w:hint="eastAsia"/>
                <w:color w:val="000000"/>
                <w:szCs w:val="21"/>
              </w:rPr>
              <w:sym w:font="Wingdings 2" w:char="0052"/>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1093"/>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737" w:type="dxa"/>
                </w:tcPr>
                <w:p>
                  <w:pPr>
                    <w:widowControl/>
                    <w:spacing w:before="40"/>
                    <w:jc w:val="left"/>
                    <w:rPr>
                      <w:color w:val="000000"/>
                      <w:szCs w:val="18"/>
                    </w:rPr>
                  </w:pPr>
                  <w:r>
                    <w:rPr>
                      <w:rFonts w:hint="eastAsia"/>
                      <w:color w:val="000000"/>
                      <w:szCs w:val="18"/>
                    </w:rPr>
                    <w:t>目标</w:t>
                  </w:r>
                </w:p>
              </w:tc>
              <w:tc>
                <w:tcPr>
                  <w:tcW w:w="1093"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widowControl/>
                    <w:spacing w:before="40"/>
                    <w:jc w:val="left"/>
                    <w:rPr>
                      <w:color w:val="000000"/>
                      <w:sz w:val="21"/>
                      <w:szCs w:val="21"/>
                      <w:highlight w:val="cyan"/>
                    </w:rPr>
                  </w:pPr>
                  <w:r>
                    <w:rPr>
                      <w:rFonts w:hint="eastAsia" w:ascii="宋体" w:hAnsi="宋体"/>
                      <w:color w:val="000000"/>
                      <w:sz w:val="21"/>
                      <w:szCs w:val="21"/>
                    </w:rPr>
                    <w:t>顾客满意度≥9</w:t>
                  </w:r>
                  <w:r>
                    <w:rPr>
                      <w:rFonts w:hint="eastAsia" w:ascii="宋体" w:hAnsi="宋体"/>
                      <w:color w:val="000000"/>
                      <w:sz w:val="21"/>
                      <w:szCs w:val="21"/>
                      <w:lang w:val="en-US" w:eastAsia="zh-CN"/>
                    </w:rPr>
                    <w:t>0</w:t>
                  </w:r>
                  <w:r>
                    <w:rPr>
                      <w:rFonts w:hint="eastAsia" w:ascii="宋体" w:hAnsi="宋体"/>
                      <w:color w:val="000000"/>
                      <w:sz w:val="21"/>
                      <w:szCs w:val="21"/>
                    </w:rPr>
                    <w:t>%以上</w:t>
                  </w:r>
                </w:p>
              </w:tc>
              <w:tc>
                <w:tcPr>
                  <w:tcW w:w="1093" w:type="dxa"/>
                </w:tcPr>
                <w:p>
                  <w:pPr>
                    <w:widowControl/>
                    <w:spacing w:before="40"/>
                    <w:jc w:val="left"/>
                    <w:rPr>
                      <w:rFonts w:hint="eastAsia" w:eastAsia="宋体"/>
                      <w:color w:val="000000"/>
                      <w:sz w:val="21"/>
                      <w:szCs w:val="21"/>
                      <w:highlight w:val="cyan"/>
                      <w:lang w:val="en-US" w:eastAsia="zh-CN"/>
                    </w:rPr>
                  </w:pPr>
                  <w:r>
                    <w:rPr>
                      <w:rFonts w:hint="eastAsia"/>
                      <w:color w:val="000000"/>
                      <w:sz w:val="21"/>
                      <w:szCs w:val="21"/>
                      <w:highlight w:val="none"/>
                      <w:lang w:val="en-US" w:eastAsia="zh-CN"/>
                    </w:rPr>
                    <w:t>年度</w:t>
                  </w:r>
                </w:p>
              </w:tc>
              <w:tc>
                <w:tcPr>
                  <w:tcW w:w="349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以顾客满意度调查表统计结果</w:t>
                  </w:r>
                </w:p>
              </w:tc>
              <w:tc>
                <w:tcPr>
                  <w:tcW w:w="2444" w:type="dxa"/>
                </w:tcPr>
                <w:p>
                  <w:pPr>
                    <w:widowControl/>
                    <w:spacing w:before="40"/>
                    <w:jc w:val="left"/>
                    <w:rPr>
                      <w:color w:val="000000"/>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widowControl/>
                    <w:spacing w:before="40"/>
                    <w:jc w:val="left"/>
                    <w:rPr>
                      <w:color w:val="000000"/>
                      <w:sz w:val="21"/>
                      <w:szCs w:val="21"/>
                      <w:highlight w:val="cyan"/>
                    </w:rPr>
                  </w:pPr>
                  <w:r>
                    <w:rPr>
                      <w:rFonts w:hint="eastAsia" w:ascii="宋体" w:hAnsi="宋体" w:eastAsia="宋体" w:cs="宋体"/>
                      <w:b w:val="0"/>
                      <w:bCs w:val="0"/>
                      <w:color w:val="000000"/>
                      <w:sz w:val="21"/>
                      <w:szCs w:val="21"/>
                    </w:rPr>
                    <w:t>产品交付准时率</w:t>
                  </w:r>
                  <w:r>
                    <w:rPr>
                      <w:rFonts w:hint="eastAsia" w:ascii="宋体" w:hAnsi="宋体"/>
                      <w:color w:val="000000"/>
                      <w:sz w:val="21"/>
                      <w:szCs w:val="21"/>
                    </w:rPr>
                    <w:t xml:space="preserve"> 100%</w:t>
                  </w:r>
                </w:p>
              </w:tc>
              <w:tc>
                <w:tcPr>
                  <w:tcW w:w="1093"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季度</w:t>
                  </w:r>
                </w:p>
              </w:tc>
              <w:tc>
                <w:tcPr>
                  <w:tcW w:w="3499" w:type="dxa"/>
                </w:tcPr>
                <w:p>
                  <w:pPr>
                    <w:widowControl/>
                    <w:spacing w:before="40"/>
                    <w:jc w:val="left"/>
                    <w:rPr>
                      <w:rFonts w:hint="eastAsia" w:eastAsia="宋体"/>
                      <w:color w:val="000000"/>
                      <w:sz w:val="21"/>
                      <w:szCs w:val="21"/>
                      <w:highlight w:val="none"/>
                      <w:lang w:val="en-US" w:eastAsia="zh-CN"/>
                    </w:rPr>
                  </w:pPr>
                  <w:r>
                    <w:rPr>
                      <w:rFonts w:hint="eastAsia" w:ascii="宋体" w:hAnsi="宋体" w:eastAsia="宋体" w:cs="宋体"/>
                      <w:b w:val="0"/>
                      <w:bCs w:val="0"/>
                      <w:color w:val="000000"/>
                      <w:sz w:val="21"/>
                      <w:szCs w:val="21"/>
                    </w:rPr>
                    <w:t>产品交付准时</w:t>
                  </w:r>
                  <w:r>
                    <w:rPr>
                      <w:rFonts w:hint="eastAsia" w:ascii="宋体" w:hAnsi="宋体"/>
                      <w:color w:val="000000"/>
                      <w:sz w:val="21"/>
                      <w:szCs w:val="21"/>
                      <w:lang w:val="en-US" w:eastAsia="zh-CN"/>
                    </w:rPr>
                    <w:t>数/</w:t>
                  </w:r>
                  <w:r>
                    <w:rPr>
                      <w:rFonts w:hint="eastAsia" w:ascii="宋体" w:hAnsi="宋体" w:eastAsia="宋体" w:cs="宋体"/>
                      <w:b w:val="0"/>
                      <w:bCs w:val="0"/>
                      <w:color w:val="000000"/>
                      <w:sz w:val="21"/>
                      <w:szCs w:val="21"/>
                    </w:rPr>
                    <w:t>产品交付准时</w:t>
                  </w:r>
                  <w:r>
                    <w:rPr>
                      <w:rFonts w:hint="eastAsia" w:ascii="宋体" w:hAnsi="宋体"/>
                      <w:color w:val="000000"/>
                      <w:sz w:val="21"/>
                      <w:szCs w:val="21"/>
                      <w:lang w:val="en-US" w:eastAsia="zh-CN"/>
                    </w:rPr>
                    <w:t>总数</w:t>
                  </w:r>
                </w:p>
              </w:tc>
              <w:tc>
                <w:tcPr>
                  <w:tcW w:w="2444"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widowControl/>
                    <w:spacing w:before="40"/>
                    <w:jc w:val="left"/>
                    <w:rPr>
                      <w:color w:val="000000"/>
                      <w:sz w:val="21"/>
                      <w:szCs w:val="21"/>
                      <w:highlight w:val="cyan"/>
                    </w:rPr>
                  </w:pPr>
                  <w:r>
                    <w:rPr>
                      <w:rFonts w:hint="eastAsia" w:ascii="宋体" w:hAnsi="宋体"/>
                      <w:color w:val="000000"/>
                      <w:sz w:val="21"/>
                      <w:szCs w:val="21"/>
                    </w:rPr>
                    <w:t>产品质量合格率100%</w:t>
                  </w:r>
                </w:p>
              </w:tc>
              <w:tc>
                <w:tcPr>
                  <w:tcW w:w="1093"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季度</w:t>
                  </w:r>
                </w:p>
              </w:tc>
              <w:tc>
                <w:tcPr>
                  <w:tcW w:w="3499" w:type="dxa"/>
                </w:tcPr>
                <w:p>
                  <w:pPr>
                    <w:widowControl/>
                    <w:spacing w:before="40"/>
                    <w:jc w:val="left"/>
                    <w:rPr>
                      <w:rFonts w:hint="default" w:eastAsia="宋体"/>
                      <w:color w:val="000000"/>
                      <w:sz w:val="21"/>
                      <w:szCs w:val="21"/>
                      <w:highlight w:val="none"/>
                      <w:lang w:val="en-US" w:eastAsia="zh-CN"/>
                    </w:rPr>
                  </w:pPr>
                  <w:r>
                    <w:rPr>
                      <w:rFonts w:hint="eastAsia" w:ascii="宋体" w:hAnsi="宋体"/>
                      <w:color w:val="000000"/>
                      <w:sz w:val="21"/>
                      <w:szCs w:val="21"/>
                    </w:rPr>
                    <w:t>产品质量合格</w:t>
                  </w:r>
                  <w:r>
                    <w:rPr>
                      <w:rFonts w:hint="eastAsia" w:ascii="宋体" w:hAnsi="宋体"/>
                      <w:color w:val="000000"/>
                      <w:sz w:val="21"/>
                      <w:szCs w:val="21"/>
                      <w:lang w:val="en-US" w:eastAsia="zh-CN"/>
                    </w:rPr>
                    <w:t>数/</w:t>
                  </w:r>
                  <w:r>
                    <w:rPr>
                      <w:rFonts w:hint="eastAsia" w:ascii="宋体" w:hAnsi="宋体"/>
                      <w:color w:val="000000"/>
                      <w:sz w:val="21"/>
                      <w:szCs w:val="21"/>
                    </w:rPr>
                    <w:t>产品</w:t>
                  </w:r>
                  <w:r>
                    <w:rPr>
                      <w:rFonts w:hint="eastAsia" w:ascii="宋体" w:hAnsi="宋体"/>
                      <w:color w:val="000000"/>
                      <w:sz w:val="21"/>
                      <w:szCs w:val="21"/>
                      <w:lang w:val="en-US" w:eastAsia="zh-CN"/>
                    </w:rPr>
                    <w:t>总数量</w:t>
                  </w:r>
                </w:p>
              </w:tc>
              <w:tc>
                <w:tcPr>
                  <w:tcW w:w="2444"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widowControl/>
                    <w:spacing w:before="40"/>
                    <w:jc w:val="left"/>
                    <w:rPr>
                      <w:color w:val="000000"/>
                      <w:sz w:val="21"/>
                      <w:szCs w:val="21"/>
                      <w:highlight w:val="cyan"/>
                    </w:rPr>
                  </w:pPr>
                  <w:r>
                    <w:rPr>
                      <w:rFonts w:hint="eastAsia" w:ascii="宋体" w:hAnsi="宋体"/>
                      <w:color w:val="000000"/>
                      <w:sz w:val="21"/>
                      <w:szCs w:val="21"/>
                    </w:rPr>
                    <w:t>设备完好率≥95%</w:t>
                  </w:r>
                </w:p>
              </w:tc>
              <w:tc>
                <w:tcPr>
                  <w:tcW w:w="1093"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季度</w:t>
                  </w:r>
                </w:p>
              </w:tc>
              <w:tc>
                <w:tcPr>
                  <w:tcW w:w="3499" w:type="dxa"/>
                </w:tcPr>
                <w:p>
                  <w:pPr>
                    <w:widowControl/>
                    <w:spacing w:before="40"/>
                    <w:jc w:val="left"/>
                    <w:rPr>
                      <w:rFonts w:hint="default" w:eastAsia="宋体"/>
                      <w:color w:val="000000"/>
                      <w:sz w:val="21"/>
                      <w:szCs w:val="21"/>
                      <w:highlight w:val="none"/>
                      <w:lang w:val="en-US" w:eastAsia="zh-CN"/>
                    </w:rPr>
                  </w:pPr>
                  <w:r>
                    <w:rPr>
                      <w:rFonts w:hint="eastAsia" w:ascii="宋体" w:hAnsi="宋体"/>
                      <w:color w:val="000000"/>
                      <w:sz w:val="21"/>
                      <w:szCs w:val="21"/>
                    </w:rPr>
                    <w:t>设备完好</w:t>
                  </w:r>
                  <w:r>
                    <w:rPr>
                      <w:rFonts w:hint="eastAsia" w:ascii="宋体" w:hAnsi="宋体"/>
                      <w:color w:val="000000"/>
                      <w:sz w:val="21"/>
                      <w:szCs w:val="21"/>
                      <w:lang w:val="en-US" w:eastAsia="zh-CN"/>
                    </w:rPr>
                    <w:t>数/设备总数</w:t>
                  </w:r>
                </w:p>
              </w:tc>
              <w:tc>
                <w:tcPr>
                  <w:tcW w:w="2444"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widowControl/>
                    <w:spacing w:before="40"/>
                    <w:jc w:val="left"/>
                    <w:rPr>
                      <w:color w:val="000000"/>
                      <w:sz w:val="21"/>
                      <w:szCs w:val="21"/>
                      <w:highlight w:val="cyan"/>
                    </w:rPr>
                  </w:pPr>
                  <w:r>
                    <w:rPr>
                      <w:rFonts w:hint="eastAsia" w:ascii="宋体" w:hAnsi="宋体"/>
                      <w:color w:val="000000"/>
                      <w:sz w:val="21"/>
                      <w:szCs w:val="21"/>
                    </w:rPr>
                    <w:t>噪声、粉尘</w:t>
                  </w:r>
                  <w:r>
                    <w:rPr>
                      <w:rFonts w:hint="eastAsia" w:ascii="宋体" w:hAnsi="宋体"/>
                      <w:color w:val="000000"/>
                      <w:sz w:val="21"/>
                      <w:szCs w:val="21"/>
                      <w:lang w:val="en-US" w:eastAsia="zh-CN"/>
                    </w:rPr>
                    <w:t>达标</w:t>
                  </w:r>
                  <w:r>
                    <w:rPr>
                      <w:rFonts w:hint="eastAsia" w:ascii="宋体" w:hAnsi="宋体"/>
                      <w:color w:val="000000"/>
                      <w:sz w:val="21"/>
                      <w:szCs w:val="21"/>
                    </w:rPr>
                    <w:t>排放</w:t>
                  </w:r>
                </w:p>
              </w:tc>
              <w:tc>
                <w:tcPr>
                  <w:tcW w:w="1093"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年度</w:t>
                  </w:r>
                </w:p>
              </w:tc>
              <w:tc>
                <w:tcPr>
                  <w:tcW w:w="349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以检测报告为准</w:t>
                  </w:r>
                </w:p>
              </w:tc>
              <w:tc>
                <w:tcPr>
                  <w:tcW w:w="2444"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widowControl/>
                    <w:spacing w:before="40"/>
                    <w:jc w:val="left"/>
                    <w:rPr>
                      <w:color w:val="000000"/>
                      <w:sz w:val="21"/>
                      <w:szCs w:val="21"/>
                      <w:highlight w:val="cyan"/>
                    </w:rPr>
                  </w:pPr>
                  <w:r>
                    <w:rPr>
                      <w:rFonts w:hint="eastAsia" w:ascii="宋体" w:hAnsi="宋体"/>
                      <w:color w:val="000000"/>
                      <w:sz w:val="21"/>
                      <w:szCs w:val="21"/>
                    </w:rPr>
                    <w:t>劳保防护用品发放率100%</w:t>
                  </w:r>
                </w:p>
              </w:tc>
              <w:tc>
                <w:tcPr>
                  <w:tcW w:w="1093"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 xml:space="preserve">季度 </w:t>
                  </w:r>
                </w:p>
              </w:tc>
              <w:tc>
                <w:tcPr>
                  <w:tcW w:w="3499" w:type="dxa"/>
                </w:tcPr>
                <w:p>
                  <w:pPr>
                    <w:widowControl/>
                    <w:spacing w:before="40"/>
                    <w:jc w:val="left"/>
                    <w:rPr>
                      <w:rFonts w:hint="eastAsia" w:eastAsia="宋体"/>
                      <w:color w:val="000000"/>
                      <w:sz w:val="21"/>
                      <w:szCs w:val="21"/>
                      <w:highlight w:val="none"/>
                      <w:lang w:val="en-US" w:eastAsia="zh-CN"/>
                    </w:rPr>
                  </w:pPr>
                  <w:r>
                    <w:rPr>
                      <w:rFonts w:hint="eastAsia" w:ascii="宋体" w:hAnsi="宋体"/>
                      <w:color w:val="000000"/>
                      <w:sz w:val="21"/>
                      <w:szCs w:val="21"/>
                    </w:rPr>
                    <w:t>劳保防护用品发放</w:t>
                  </w:r>
                  <w:r>
                    <w:rPr>
                      <w:rFonts w:hint="eastAsia" w:ascii="宋体" w:hAnsi="宋体"/>
                      <w:color w:val="000000"/>
                      <w:sz w:val="21"/>
                      <w:szCs w:val="21"/>
                      <w:lang w:val="en-US" w:eastAsia="zh-CN"/>
                    </w:rPr>
                    <w:t>数/</w:t>
                  </w:r>
                  <w:r>
                    <w:rPr>
                      <w:rFonts w:hint="eastAsia" w:ascii="宋体" w:hAnsi="宋体"/>
                      <w:color w:val="000000"/>
                      <w:sz w:val="21"/>
                      <w:szCs w:val="21"/>
                    </w:rPr>
                    <w:t>劳保防护用品</w:t>
                  </w:r>
                  <w:r>
                    <w:rPr>
                      <w:rFonts w:hint="eastAsia" w:ascii="宋体" w:hAnsi="宋体"/>
                      <w:color w:val="000000"/>
                      <w:sz w:val="21"/>
                      <w:szCs w:val="21"/>
                      <w:lang w:val="en-US" w:eastAsia="zh-CN"/>
                    </w:rPr>
                    <w:t>应</w:t>
                  </w:r>
                  <w:r>
                    <w:rPr>
                      <w:rFonts w:hint="eastAsia" w:ascii="宋体" w:hAnsi="宋体"/>
                      <w:color w:val="000000"/>
                      <w:sz w:val="21"/>
                      <w:szCs w:val="21"/>
                    </w:rPr>
                    <w:t>发</w:t>
                  </w:r>
                  <w:r>
                    <w:rPr>
                      <w:rFonts w:hint="eastAsia" w:ascii="宋体" w:hAnsi="宋体"/>
                      <w:color w:val="000000"/>
                      <w:sz w:val="21"/>
                      <w:szCs w:val="21"/>
                      <w:lang w:val="en-US" w:eastAsia="zh-CN"/>
                    </w:rPr>
                    <w:t>数</w:t>
                  </w:r>
                </w:p>
              </w:tc>
              <w:tc>
                <w:tcPr>
                  <w:tcW w:w="2444"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widowControl/>
                    <w:spacing w:before="40"/>
                    <w:jc w:val="left"/>
                    <w:rPr>
                      <w:rFonts w:hint="eastAsia" w:ascii="宋体" w:hAnsi="宋体"/>
                      <w:color w:val="000000"/>
                      <w:sz w:val="21"/>
                      <w:szCs w:val="21"/>
                    </w:rPr>
                  </w:pPr>
                  <w:r>
                    <w:rPr>
                      <w:rFonts w:hint="eastAsia" w:ascii="宋体" w:hAnsi="宋体"/>
                      <w:color w:val="000000"/>
                      <w:sz w:val="21"/>
                      <w:szCs w:val="21"/>
                    </w:rPr>
                    <w:t>职业病发生率控制在零</w:t>
                  </w:r>
                </w:p>
              </w:tc>
              <w:tc>
                <w:tcPr>
                  <w:tcW w:w="1093"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年度</w:t>
                  </w:r>
                </w:p>
              </w:tc>
              <w:tc>
                <w:tcPr>
                  <w:tcW w:w="349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以体检报告为准</w:t>
                  </w:r>
                </w:p>
              </w:tc>
              <w:tc>
                <w:tcPr>
                  <w:tcW w:w="2444"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widowControl/>
                    <w:spacing w:before="40"/>
                    <w:jc w:val="left"/>
                    <w:rPr>
                      <w:rFonts w:hint="eastAsia" w:ascii="宋体" w:hAnsi="宋体"/>
                      <w:color w:val="000000"/>
                      <w:sz w:val="21"/>
                      <w:szCs w:val="21"/>
                    </w:rPr>
                  </w:pPr>
                  <w:r>
                    <w:rPr>
                      <w:rFonts w:hint="eastAsia" w:ascii="宋体" w:hAnsi="宋体"/>
                      <w:color w:val="000000"/>
                      <w:sz w:val="21"/>
                      <w:szCs w:val="21"/>
                    </w:rPr>
                    <w:t>安全事故为零</w:t>
                  </w:r>
                </w:p>
              </w:tc>
              <w:tc>
                <w:tcPr>
                  <w:tcW w:w="1093"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季度</w:t>
                  </w:r>
                </w:p>
              </w:tc>
              <w:tc>
                <w:tcPr>
                  <w:tcW w:w="349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以统计结果为准</w:t>
                  </w:r>
                </w:p>
              </w:tc>
              <w:tc>
                <w:tcPr>
                  <w:tcW w:w="2444"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0</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21</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54</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57</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11</w:t>
            </w:r>
            <w:r>
              <w:rPr>
                <w:rFonts w:hint="eastAsia"/>
                <w:color w:val="000000"/>
                <w:szCs w:val="18"/>
              </w:rPr>
              <w:t>月</w:t>
            </w:r>
            <w:r>
              <w:rPr>
                <w:rFonts w:hint="eastAsia"/>
                <w:color w:val="000000"/>
                <w:szCs w:val="18"/>
                <w:lang w:val="en-US" w:eastAsia="zh-CN"/>
              </w:rPr>
              <w:t>7-8</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lang w:val="en-US" w:eastAsia="zh-CN"/>
              </w:rPr>
              <w:t>4</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11</w:t>
            </w:r>
            <w:r>
              <w:rPr>
                <w:rFonts w:hint="eastAsia"/>
                <w:color w:val="000000"/>
                <w:szCs w:val="18"/>
              </w:rPr>
              <w:t>月</w:t>
            </w:r>
            <w:r>
              <w:rPr>
                <w:rFonts w:hint="eastAsia"/>
                <w:color w:val="000000"/>
                <w:szCs w:val="18"/>
                <w:lang w:val="en-US" w:eastAsia="zh-CN"/>
              </w:rPr>
              <w:t>30</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w:t>
            </w:r>
            <w:r>
              <w:rPr>
                <w:rFonts w:hint="eastAsia"/>
                <w:color w:val="000000"/>
                <w:szCs w:val="18"/>
                <w:lang w:val="en-US" w:eastAsia="zh-CN"/>
              </w:rPr>
              <w:t>8.3</w:t>
            </w:r>
          </w:p>
          <w:p>
            <w:pPr>
              <w:rPr>
                <w:color w:val="000000"/>
                <w:szCs w:val="18"/>
              </w:rPr>
            </w:pPr>
            <w:r>
              <w:rPr>
                <w:rFonts w:hint="eastAsia"/>
                <w:color w:val="000000"/>
                <w:szCs w:val="18"/>
              </w:rPr>
              <w:t>合理理由的详细说明：</w:t>
            </w:r>
            <w:r>
              <w:rPr>
                <w:rFonts w:hint="eastAsia" w:ascii="宋体" w:hAnsi="宋体" w:eastAsia="宋体" w:cs="宋体"/>
                <w:sz w:val="21"/>
                <w:szCs w:val="21"/>
              </w:rPr>
              <w:t>组织按照国标/行标和顾客要求进行</w:t>
            </w:r>
            <w:r>
              <w:rPr>
                <w:sz w:val="21"/>
                <w:szCs w:val="21"/>
              </w:rPr>
              <w:t>预拌混凝土的生产及销售</w:t>
            </w:r>
            <w:r>
              <w:rPr>
                <w:rFonts w:hint="eastAsia" w:ascii="宋体" w:hAnsi="宋体" w:eastAsia="宋体" w:cs="宋体"/>
                <w:sz w:val="21"/>
                <w:szCs w:val="21"/>
              </w:rPr>
              <w:t>，不需进行产品的设计和开发，因此对标准的8.3条款不适用，且不影响组织提供满足顾客要求和适用法律法规要求的产品的能力或责任，不适用合理。</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sz w:val="21"/>
                <w:szCs w:val="21"/>
                <w:u w:val="single"/>
              </w:rPr>
            </w:pPr>
            <w:r>
              <w:rPr>
                <w:rFonts w:hint="eastAsia"/>
                <w:color w:val="000000"/>
              </w:rPr>
              <w:t>质量关键过程（工序）：</w:t>
            </w:r>
            <w:r>
              <w:rPr>
                <w:rFonts w:hint="eastAsia"/>
                <w:sz w:val="21"/>
                <w:szCs w:val="21"/>
                <w:u w:val="single"/>
              </w:rPr>
              <w:t>按配合比要求计量（称重）和搅拌（定时控制）两个</w:t>
            </w:r>
            <w:r>
              <w:rPr>
                <w:rFonts w:hint="eastAsia"/>
                <w:color w:val="000000"/>
                <w:sz w:val="21"/>
                <w:szCs w:val="21"/>
                <w:u w:val="single"/>
              </w:rPr>
              <w:t>；相关控制参数名称：</w:t>
            </w:r>
            <w:r>
              <w:rPr>
                <w:rFonts w:hint="eastAsia"/>
                <w:color w:val="000000"/>
                <w:sz w:val="21"/>
                <w:szCs w:val="21"/>
                <w:u w:val="single"/>
                <w:lang w:val="en-US" w:eastAsia="zh-CN"/>
              </w:rPr>
              <w:t>配合比、搅拌时间</w:t>
            </w:r>
            <w:r>
              <w:rPr>
                <w:rFonts w:hint="eastAsia"/>
                <w:color w:val="000000"/>
                <w:sz w:val="21"/>
                <w:szCs w:val="21"/>
                <w:u w:val="single"/>
              </w:rPr>
              <w:t>；</w:t>
            </w:r>
          </w:p>
          <w:p>
            <w:pPr>
              <w:rPr>
                <w:color w:val="000000"/>
                <w:u w:val="single"/>
              </w:rPr>
            </w:pPr>
          </w:p>
          <w:p>
            <w:pPr>
              <w:rPr>
                <w:color w:val="000000"/>
                <w:u w:val="single"/>
              </w:rPr>
            </w:pPr>
            <w:r>
              <w:rPr>
                <w:rFonts w:hint="eastAsia"/>
                <w:color w:val="000000"/>
              </w:rPr>
              <w:t>需要确认的过程（工序）：</w:t>
            </w:r>
            <w:r>
              <w:rPr>
                <w:rFonts w:hint="eastAsia"/>
                <w:sz w:val="21"/>
                <w:szCs w:val="21"/>
                <w:u w:val="single"/>
              </w:rPr>
              <w:t>配合比要求计量（称重）和搅拌（定时控制）</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w:t>
            </w:r>
            <w:r>
              <w:rPr>
                <w:rFonts w:hint="eastAsia"/>
                <w:color w:val="000000"/>
                <w:szCs w:val="21"/>
              </w:rPr>
              <w:sym w:font="Wingdings 2" w:char="0052"/>
            </w:r>
            <w:r>
              <w:rPr>
                <w:rFonts w:hint="eastAsia"/>
                <w:color w:val="000000"/>
                <w:szCs w:val="21"/>
              </w:rPr>
              <w:t>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国家标准、□行业标准、□地方标准、□企业标准、</w:t>
            </w:r>
            <w:r>
              <w:rPr>
                <w:rFonts w:hint="eastAsia"/>
                <w:color w:val="000000"/>
                <w:szCs w:val="21"/>
              </w:rPr>
              <w:sym w:font="Wingdings 2" w:char="0052"/>
            </w:r>
            <w:r>
              <w:rPr>
                <w:rFonts w:hint="eastAsia"/>
                <w:color w:val="000000"/>
                <w:szCs w:val="21"/>
              </w:rPr>
              <w:t xml:space="preserve">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w:t>
            </w:r>
            <w:r>
              <w:rPr>
                <w:rFonts w:hint="eastAsia"/>
                <w:color w:val="000000"/>
                <w:u w:val="single"/>
                <w:lang w:val="en-US" w:eastAsia="zh-CN"/>
              </w:rPr>
              <w:t>96%</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sym w:font="Wingdings 2" w:char="0052"/>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A3"/>
            </w:r>
            <w:r>
              <w:rPr>
                <w:rFonts w:hint="eastAsia"/>
                <w:color w:val="000000"/>
                <w:szCs w:val="21"/>
              </w:rPr>
              <w:t>可以满足运行要求；</w:t>
            </w:r>
            <w:r>
              <w:rPr>
                <w:rFonts w:hint="eastAsia"/>
                <w:color w:val="000000"/>
                <w:szCs w:val="21"/>
              </w:rPr>
              <w:sym w:font="Wingdings 2" w:char="0052"/>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w:t>
            </w:r>
            <w:r>
              <w:rPr>
                <w:rFonts w:hint="eastAsia"/>
                <w:color w:val="000000"/>
                <w:szCs w:val="21"/>
                <w:u w:val="single"/>
              </w:rPr>
              <w:t>主要有</w:t>
            </w:r>
            <w:r>
              <w:rPr>
                <w:rFonts w:hint="eastAsia"/>
                <w:szCs w:val="21"/>
                <w:u w:val="single"/>
              </w:rPr>
              <w:t>全封闭式生产线</w:t>
            </w:r>
            <w:r>
              <w:rPr>
                <w:rFonts w:hint="eastAsia"/>
                <w:szCs w:val="21"/>
                <w:u w:val="single"/>
                <w:lang w:val="en-US" w:eastAsia="zh-CN"/>
              </w:rPr>
              <w:t>2</w:t>
            </w:r>
            <w:r>
              <w:rPr>
                <w:rFonts w:hint="eastAsia"/>
                <w:szCs w:val="21"/>
                <w:u w:val="single"/>
              </w:rPr>
              <w:t>条、配备</w:t>
            </w:r>
            <w:r>
              <w:rPr>
                <w:rFonts w:hint="eastAsia"/>
                <w:szCs w:val="21"/>
                <w:u w:val="single"/>
                <w:lang w:val="en-US" w:eastAsia="zh-CN"/>
              </w:rPr>
              <w:t>多台</w:t>
            </w:r>
            <w:r>
              <w:rPr>
                <w:rFonts w:hint="eastAsia"/>
                <w:szCs w:val="21"/>
                <w:u w:val="single"/>
              </w:rPr>
              <w:t>汽车泵、水泥净浆搅拌机等</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rFonts w:hint="eastAsia"/>
                <w:color w:val="000000"/>
                <w:szCs w:val="21"/>
              </w:rPr>
              <w:sym w:font="Wingdings 2" w:char="0052"/>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sz w:val="21"/>
                <w:szCs w:val="21"/>
                <w:u w:val="single"/>
              </w:rPr>
            </w:pPr>
            <w:r>
              <w:rPr>
                <w:rFonts w:hint="eastAsia"/>
                <w:color w:val="000000"/>
              </w:rPr>
              <w:t>观察质量相关的监视和测量设备的种类，</w:t>
            </w:r>
            <w:r>
              <w:rPr>
                <w:rFonts w:hint="eastAsia"/>
                <w:color w:val="000000"/>
                <w:szCs w:val="21"/>
              </w:rPr>
              <w:t>主要有</w:t>
            </w:r>
            <w:r>
              <w:rPr>
                <w:rFonts w:ascii="宋体"/>
                <w:color w:val="000000"/>
                <w:sz w:val="21"/>
                <w:szCs w:val="21"/>
                <w:u w:val="single"/>
              </w:rPr>
              <w:t xml:space="preserve">YH-40B </w:t>
            </w:r>
            <w:r>
              <w:rPr>
                <w:rFonts w:hint="eastAsia" w:ascii="宋体"/>
                <w:color w:val="000000"/>
                <w:sz w:val="21"/>
                <w:szCs w:val="21"/>
                <w:u w:val="single"/>
              </w:rPr>
              <w:t>标准恒温恒湿养护箱、电热鼓风干燥箱、数显式压力试验机、水泥快速养护箱等。</w:t>
            </w:r>
            <w:r>
              <w:rPr>
                <w:rFonts w:hint="eastAsia"/>
                <w:color w:val="000000"/>
                <w:sz w:val="21"/>
                <w:szCs w:val="21"/>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A3"/>
            </w:r>
            <w:r>
              <w:rPr>
                <w:rFonts w:hint="eastAsia"/>
                <w:color w:val="000000"/>
                <w:szCs w:val="21"/>
              </w:rPr>
              <w:t xml:space="preserve"> </w:t>
            </w:r>
            <w:r>
              <w:rPr>
                <w:rFonts w:hint="eastAsia"/>
                <w:color w:val="000000"/>
              </w:rPr>
              <w:t xml:space="preserve">校准受控 </w:t>
            </w:r>
            <w:r>
              <w:rPr>
                <w:rFonts w:hint="eastAsia"/>
                <w:color w:val="000000"/>
                <w:szCs w:val="21"/>
              </w:rPr>
              <w:sym w:font="Wingdings 2" w:char="0052"/>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w:t>
            </w:r>
            <w:r>
              <w:rPr>
                <w:rFonts w:hint="eastAsia"/>
                <w:color w:val="000000"/>
                <w:szCs w:val="21"/>
              </w:rPr>
              <w:sym w:font="Wingdings 2" w:char="0052"/>
            </w:r>
            <w:r>
              <w:rPr>
                <w:rFonts w:hint="eastAsia"/>
                <w:color w:val="000000"/>
                <w:szCs w:val="21"/>
              </w:rPr>
              <w:t>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sym w:font="Wingdings" w:char="00FE"/>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lang w:val="en-US" w:eastAsia="zh-CN"/>
              </w:rPr>
              <w:t>17万立方米</w:t>
            </w:r>
            <w:r>
              <w:rPr>
                <w:rFonts w:hint="eastAsia"/>
                <w:color w:val="000000"/>
                <w:szCs w:val="18"/>
                <w:u w:val="single"/>
              </w:rPr>
              <w:t>；</w:t>
            </w:r>
            <w:r>
              <w:rPr>
                <w:rFonts w:hint="eastAsia"/>
                <w:color w:val="000000"/>
                <w:szCs w:val="18"/>
              </w:rPr>
              <w:t xml:space="preserve"> 环评的产能</w:t>
            </w:r>
            <w:r>
              <w:rPr>
                <w:rFonts w:hint="eastAsia"/>
                <w:color w:val="000000"/>
                <w:szCs w:val="18"/>
                <w:u w:val="single"/>
                <w:lang w:val="en-US" w:eastAsia="zh-CN"/>
              </w:rPr>
              <w:t>30万立方米</w:t>
            </w:r>
            <w:r>
              <w:rPr>
                <w:rFonts w:hint="eastAsia"/>
                <w:color w:val="000000"/>
                <w:szCs w:val="18"/>
              </w:rPr>
              <w:t>：</w:t>
            </w:r>
          </w:p>
          <w:p>
            <w:pPr>
              <w:rPr>
                <w:rFonts w:hint="default" w:eastAsia="宋体"/>
                <w:color w:val="000000"/>
                <w:lang w:val="en-US" w:eastAsia="zh-CN"/>
              </w:rPr>
            </w:pPr>
            <w:r>
              <w:rPr>
                <w:rFonts w:ascii="Wingdings" w:hAnsi="Wingdings"/>
                <w:color w:val="000000"/>
              </w:rPr>
              <w:sym w:font="Wingdings" w:char="00FE"/>
            </w:r>
            <w:r>
              <w:rPr>
                <w:rFonts w:hint="eastAsia"/>
                <w:color w:val="000000"/>
                <w:szCs w:val="18"/>
              </w:rPr>
              <w:t>未超出产能</w:t>
            </w:r>
            <w:r>
              <w:rPr>
                <w:rFonts w:ascii="Wingdings" w:hAnsi="Wingdings"/>
                <w:color w:val="000000"/>
              </w:rPr>
              <w:sym w:font="Wingdings" w:char="00A8"/>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rPr>
            </w:pPr>
            <w:r>
              <w:rPr>
                <w:color w:val="000000"/>
                <w:szCs w:val="18"/>
              </w:rPr>
              <w:t>查看《</w:t>
            </w:r>
            <w:r>
              <w:rPr>
                <w:rFonts w:hint="eastAsia"/>
                <w:color w:val="000000"/>
                <w:szCs w:val="18"/>
              </w:rPr>
              <w:t>固定污染源排污登记回执</w:t>
            </w:r>
            <w:r>
              <w:rPr>
                <w:color w:val="000000"/>
                <w:szCs w:val="18"/>
              </w:rPr>
              <w:t>》</w:t>
            </w:r>
            <w:r>
              <w:rPr>
                <w:rFonts w:hint="eastAsia"/>
                <w:color w:val="000000"/>
                <w:szCs w:val="18"/>
              </w:rPr>
              <w:t>编号：</w:t>
            </w:r>
            <w:r>
              <w:rPr>
                <w:sz w:val="22"/>
                <w:szCs w:val="22"/>
                <w:u w:val="single"/>
              </w:rPr>
              <w:t>914206070635352640</w:t>
            </w:r>
            <w:r>
              <w:rPr>
                <w:rFonts w:hint="eastAsia"/>
                <w:color w:val="000000"/>
                <w:szCs w:val="18"/>
              </w:rPr>
              <w:t>有效期：</w:t>
            </w:r>
            <w:r>
              <w:rPr>
                <w:rFonts w:hint="eastAsia"/>
                <w:color w:val="000000"/>
                <w:szCs w:val="18"/>
                <w:u w:val="single"/>
              </w:rPr>
              <w:t xml:space="preserve"> </w:t>
            </w:r>
            <w:r>
              <w:rPr>
                <w:rFonts w:hint="eastAsia"/>
                <w:color w:val="000000"/>
                <w:szCs w:val="18"/>
                <w:u w:val="single"/>
                <w:lang w:val="en-US" w:eastAsia="zh-CN"/>
              </w:rPr>
              <w:t>2025</w:t>
            </w:r>
            <w:r>
              <w:rPr>
                <w:rFonts w:hint="eastAsia"/>
                <w:color w:val="000000"/>
                <w:szCs w:val="18"/>
                <w:u w:val="single"/>
              </w:rPr>
              <w:t>年</w:t>
            </w:r>
            <w:r>
              <w:rPr>
                <w:rFonts w:hint="eastAsia"/>
                <w:color w:val="000000"/>
                <w:szCs w:val="18"/>
                <w:u w:val="single"/>
                <w:lang w:val="en-US" w:eastAsia="zh-CN"/>
              </w:rPr>
              <w:t>06</w:t>
            </w:r>
            <w:r>
              <w:rPr>
                <w:rFonts w:hint="eastAsia"/>
                <w:color w:val="000000"/>
                <w:szCs w:val="18"/>
                <w:u w:val="single"/>
              </w:rPr>
              <w:t xml:space="preserve"> 月 </w:t>
            </w:r>
            <w:r>
              <w:rPr>
                <w:rFonts w:hint="eastAsia"/>
                <w:color w:val="000000"/>
                <w:szCs w:val="18"/>
                <w:u w:val="single"/>
                <w:lang w:val="en-US" w:eastAsia="zh-CN"/>
              </w:rPr>
              <w:t>24</w:t>
            </w:r>
            <w:r>
              <w:rPr>
                <w:rFonts w:hint="eastAsia"/>
                <w:color w:val="000000"/>
                <w:szCs w:val="18"/>
                <w:u w:val="single"/>
              </w:rPr>
              <w:t xml:space="preserve"> 日</w:t>
            </w:r>
          </w:p>
          <w:p>
            <w:pPr>
              <w:rPr>
                <w:color w:val="000000"/>
                <w:szCs w:val="18"/>
                <w:highlight w:val="magenta"/>
              </w:rPr>
            </w:pPr>
            <w:r>
              <w:rPr>
                <w:rFonts w:hint="eastAsia"/>
                <w:color w:val="000000"/>
                <w:szCs w:val="18"/>
              </w:rPr>
              <w:t>污染物排放种类：</w:t>
            </w: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rFonts w:hint="default" w:eastAsia="宋体"/>
                <w:color w:val="000000"/>
                <w:szCs w:val="18"/>
                <w:u w:val="single"/>
                <w:lang w:val="en-US" w:eastAsia="zh-CN"/>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lang w:val="en-US" w:eastAsia="zh-CN"/>
              </w:rPr>
              <w:t>2015</w:t>
            </w:r>
            <w:r>
              <w:rPr>
                <w:rFonts w:hint="eastAsia"/>
                <w:color w:val="000000"/>
                <w:szCs w:val="18"/>
                <w:u w:val="single"/>
              </w:rPr>
              <w:t xml:space="preserve">年 </w:t>
            </w:r>
            <w:r>
              <w:rPr>
                <w:rFonts w:hint="eastAsia"/>
                <w:color w:val="000000"/>
                <w:szCs w:val="18"/>
                <w:u w:val="single"/>
                <w:lang w:val="en-US" w:eastAsia="zh-CN"/>
              </w:rPr>
              <w:t>6</w:t>
            </w:r>
            <w:r>
              <w:rPr>
                <w:rFonts w:hint="eastAsia"/>
                <w:color w:val="000000"/>
                <w:szCs w:val="18"/>
                <w:u w:val="single"/>
              </w:rPr>
              <w:t xml:space="preserve"> 月</w:t>
            </w:r>
            <w:r>
              <w:rPr>
                <w:rFonts w:hint="eastAsia"/>
                <w:color w:val="000000"/>
                <w:szCs w:val="18"/>
                <w:u w:val="single"/>
                <w:lang w:val="en-US" w:eastAsia="zh-CN"/>
              </w:rPr>
              <w:t>26日</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A8"/>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年</w:t>
            </w:r>
            <w:r>
              <w:rPr>
                <w:rFonts w:hint="eastAsia"/>
                <w:color w:val="000000"/>
                <w:szCs w:val="18"/>
                <w:u w:val="single"/>
                <w:lang w:val="en-US" w:eastAsia="zh-CN"/>
              </w:rPr>
              <w:t>12</w:t>
            </w:r>
            <w:r>
              <w:rPr>
                <w:rFonts w:hint="eastAsia"/>
                <w:color w:val="000000"/>
                <w:szCs w:val="18"/>
                <w:u w:val="single"/>
              </w:rPr>
              <w:t xml:space="preserve"> 月</w:t>
            </w:r>
            <w:r>
              <w:rPr>
                <w:rFonts w:hint="eastAsia"/>
                <w:color w:val="000000"/>
                <w:szCs w:val="18"/>
                <w:u w:val="single"/>
                <w:lang w:val="en-US" w:eastAsia="zh-CN"/>
              </w:rPr>
              <w:t>1</w:t>
            </w:r>
            <w:r>
              <w:rPr>
                <w:rFonts w:hint="eastAsia"/>
                <w:color w:val="000000"/>
                <w:szCs w:val="18"/>
                <w:u w:val="single"/>
              </w:rPr>
              <w:t>日</w:t>
            </w:r>
          </w:p>
          <w:p>
            <w:pPr>
              <w:ind w:firstLine="210" w:firstLineChars="100"/>
              <w:rPr>
                <w:color w:val="000000"/>
              </w:rPr>
            </w:pPr>
            <w:r>
              <w:rPr>
                <w:rFonts w:hint="eastAsia"/>
                <w:color w:val="000000"/>
              </w:rPr>
              <w:t>包括：</w:t>
            </w:r>
            <w:r>
              <w:rPr>
                <w:rFonts w:ascii="Wingdings" w:hAnsi="Wingdings"/>
                <w:color w:val="000000"/>
              </w:rPr>
              <w:sym w:font="Wingdings" w:char="00A8"/>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A8"/>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sym w:font="Wingdings" w:char="00FE"/>
            </w:r>
            <w:r>
              <w:rPr>
                <w:rFonts w:hint="eastAsia"/>
                <w:color w:val="000000"/>
                <w:szCs w:val="18"/>
              </w:rPr>
              <w:t xml:space="preserve">低压电工作业  </w:t>
            </w:r>
            <w:r>
              <w:rPr>
                <w:rFonts w:ascii="Wingdings" w:hAnsi="Wingdings"/>
                <w:color w:val="000000"/>
                <w:szCs w:val="18"/>
              </w:rPr>
              <w:sym w:font="Wingdings" w:char="00FE"/>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sym w:font="Wingdings" w:char="00FE"/>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sym w:font="Wingdings" w:char="00FE"/>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sym w:font="Wingdings" w:char="00FE"/>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sym w:font="Wingdings" w:char="00A8"/>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sym w:font="Wingdings" w:char="00A8"/>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sym w:font="Wingdings" w:char="00FE"/>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w:t>
            </w:r>
            <w:r>
              <w:rPr>
                <w:rFonts w:hint="eastAsia"/>
                <w:color w:val="000000"/>
                <w:szCs w:val="18"/>
                <w:lang w:val="en-US" w:eastAsia="zh-CN"/>
              </w:rPr>
              <w:t>职业病危害现状评价</w:t>
            </w:r>
            <w:r>
              <w:rPr>
                <w:rFonts w:hint="eastAsia"/>
                <w:color w:val="000000"/>
                <w:szCs w:val="18"/>
              </w:rPr>
              <w:t>报告》编号：颁发日期：</w:t>
            </w:r>
            <w:r>
              <w:rPr>
                <w:rFonts w:hint="eastAsia"/>
                <w:color w:val="000000"/>
                <w:szCs w:val="18"/>
                <w:u w:val="single"/>
              </w:rPr>
              <w:t xml:space="preserve"> </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sym w:font="Wingdings" w:char="00A8"/>
            </w:r>
            <w:r>
              <w:rPr>
                <w:rFonts w:hint="eastAsia"/>
                <w:color w:val="000000"/>
              </w:rPr>
              <w:t xml:space="preserve">粉尘   </w:t>
            </w:r>
            <w:r>
              <w:rPr>
                <w:rFonts w:ascii="Wingdings" w:hAnsi="Wingdings"/>
                <w:color w:val="000000"/>
              </w:rPr>
              <w:sym w:font="Wingdings" w:char="00A8"/>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sym w:font="Wingdings" w:char="00A8"/>
            </w:r>
            <w:r>
              <w:rPr>
                <w:rFonts w:hint="eastAsia"/>
                <w:color w:val="000000"/>
              </w:rPr>
              <w:t xml:space="preserve">粉尘   </w:t>
            </w:r>
            <w:r>
              <w:rPr>
                <w:rFonts w:ascii="Wingdings" w:hAnsi="Wingdings"/>
                <w:color w:val="000000"/>
              </w:rPr>
              <w:sym w:font="Wingdings" w:char="00A8"/>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sym w:font="Wingdings" w:char="00FE"/>
            </w:r>
            <w:r>
              <w:rPr>
                <w:rFonts w:hint="eastAsia"/>
                <w:color w:val="000000"/>
              </w:rPr>
              <w:t xml:space="preserve">低压电工作业  </w:t>
            </w:r>
            <w:r>
              <w:rPr>
                <w:rFonts w:ascii="Wingdings" w:hAnsi="Wingdings"/>
                <w:color w:val="000000"/>
              </w:rPr>
              <w:sym w:font="Wingdings" w:char="00FE"/>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sym w:font="Wingdings" w:char="00FE"/>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□危险作业 □高低温  □危化品泄露 </w:t>
            </w:r>
          </w:p>
          <w:p>
            <w:pPr>
              <w:widowControl/>
              <w:spacing w:before="40"/>
              <w:ind w:firstLine="210" w:firstLineChars="100"/>
              <w:jc w:val="left"/>
            </w:pPr>
            <w:r>
              <w:rPr>
                <w:rFonts w:hint="eastAsia"/>
              </w:rPr>
              <w:sym w:font="Wingdings 2" w:char="0052"/>
            </w: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sym w:font="Wingdings" w:char="00FE"/>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sym w:font="Wingdings" w:char="00FE"/>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sym w:font="Wingdings" w:char="00FE"/>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sym w:font="Wingdings" w:char="00FE"/>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sym w:font="Wingdings" w:char="00FE"/>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ascii="Wingdings" w:hAnsi="Wingdings"/>
                <w:color w:val="000000"/>
              </w:rPr>
              <w:sym w:font="Wingdings" w:char="00FE"/>
            </w:r>
            <w:r>
              <w:rPr>
                <w:rFonts w:hint="eastAsia"/>
                <w:color w:val="000000"/>
                <w:szCs w:val="21"/>
              </w:rPr>
              <w:t>护目镜</w:t>
            </w:r>
            <w:r>
              <w:rPr>
                <w:rFonts w:ascii="Wingdings" w:hAnsi="Wingdings"/>
                <w:color w:val="000000"/>
              </w:rPr>
              <w:sym w:font="Wingdings" w:char="00FE"/>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sym w:font="Wingdings" w:char="00FE"/>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sym w:font="Wingdings" w:char="00A8"/>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sym w:font="Wingdings" w:char="00FE"/>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t>¨</w:t>
            </w:r>
            <w:r>
              <w:rPr>
                <w:rFonts w:hint="eastAsia"/>
                <w:color w:val="000000"/>
              </w:rPr>
              <w:t xml:space="preserve">无异常   </w:t>
            </w:r>
            <w:r>
              <w:rPr>
                <w:rFonts w:ascii="Wingdings" w:hAnsi="Wingdings"/>
                <w:color w:val="000000"/>
              </w:rPr>
              <w:sym w:font="Wingdings" w:char="00FE"/>
            </w:r>
            <w:r>
              <w:rPr>
                <w:rFonts w:hint="eastAsia"/>
                <w:color w:val="000000"/>
              </w:rPr>
              <w:t>有异常，需要改进：</w:t>
            </w:r>
            <w:r>
              <w:rPr>
                <w:rFonts w:hint="eastAsia"/>
                <w:color w:val="000000"/>
                <w:lang w:val="en-US" w:eastAsia="zh-CN"/>
              </w:rPr>
              <w:t>氧气瓶和乙炔瓶安全距离不足。</w:t>
            </w:r>
            <w:r>
              <w:rPr>
                <w:rFonts w:hint="eastAsia"/>
                <w:color w:val="000000"/>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Pr>
        <w:pStyle w:val="3"/>
      </w:pPr>
      <w:bookmarkStart w:id="5" w:name="_GoBack"/>
      <w:bookmarkEnd w:id="5"/>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262701"/>
    <w:rsid w:val="2AD93CF1"/>
    <w:rsid w:val="43124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14</TotalTime>
  <ScaleCrop>false</ScaleCrop>
  <LinksUpToDate>false</LinksUpToDate>
  <CharactersWithSpaces>13072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2022-01-13T02:55:07Z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2052-11.1.0.11294</vt:lpwstr>
  </property>
</Properties>
</file>