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0450-2019-EO-2022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天津市金盛源特种建材有限公司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天津市金盛源特种建材有限公司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天津市宁河区岳龙镇岳龙村西</w:t>
            </w:r>
            <w:bookmarkEnd w:id="6"/>
          </w:p>
        </w:tc>
        <w:tc>
          <w:tcPr>
            <w:tcW w:w="1242" w:type="dxa"/>
            <w:vMerge w:val="restart"/>
            <w:vAlign w:val="center"/>
          </w:tcPr>
          <w:p>
            <w:r>
              <w:rPr>
                <w:rFonts w:hint="eastAsia"/>
              </w:rPr>
              <w:t>邮编</w:t>
            </w:r>
          </w:p>
        </w:tc>
        <w:tc>
          <w:tcPr>
            <w:tcW w:w="1771" w:type="dxa"/>
          </w:tcPr>
          <w:p>
            <w:bookmarkStart w:id="7" w:name="注册邮编"/>
            <w:r>
              <w:t>301502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天津市宁河区岳龙镇岳龙村西</w:t>
            </w:r>
            <w:bookmarkEnd w:id="8"/>
          </w:p>
        </w:tc>
        <w:tc>
          <w:tcPr>
            <w:tcW w:w="1242" w:type="dxa"/>
            <w:vMerge w:val="continue"/>
            <w:vAlign w:val="center"/>
          </w:tcPr>
          <w:p/>
        </w:tc>
        <w:tc>
          <w:tcPr>
            <w:tcW w:w="1771" w:type="dxa"/>
          </w:tcPr>
          <w:p>
            <w:bookmarkStart w:id="9" w:name="办公邮编"/>
            <w:r>
              <w:t>301502</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何福</w:t>
            </w:r>
            <w:bookmarkEnd w:id="10"/>
          </w:p>
        </w:tc>
        <w:tc>
          <w:tcPr>
            <w:tcW w:w="1313" w:type="dxa"/>
            <w:vAlign w:val="center"/>
          </w:tcPr>
          <w:p>
            <w:r>
              <w:rPr>
                <w:rFonts w:hint="eastAsia"/>
              </w:rPr>
              <w:t>电话.</w:t>
            </w:r>
          </w:p>
        </w:tc>
        <w:tc>
          <w:tcPr>
            <w:tcW w:w="2180" w:type="dxa"/>
            <w:vAlign w:val="center"/>
          </w:tcPr>
          <w:p>
            <w:bookmarkStart w:id="11" w:name="联系人电话"/>
            <w:r>
              <w:t>18923659300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荀凤祥</w:t>
            </w:r>
            <w:bookmarkEnd w:id="13"/>
          </w:p>
        </w:tc>
        <w:tc>
          <w:tcPr>
            <w:tcW w:w="1313" w:type="dxa"/>
            <w:vAlign w:val="center"/>
          </w:tcPr>
          <w:p>
            <w:r>
              <w:rPr>
                <w:rFonts w:hint="eastAsia"/>
              </w:rPr>
              <w:t>管理者代表</w:t>
            </w:r>
          </w:p>
        </w:tc>
        <w:tc>
          <w:tcPr>
            <w:tcW w:w="2180" w:type="dxa"/>
          </w:tcPr>
          <w:p>
            <w:bookmarkStart w:id="14" w:name="管理者代表"/>
            <w:r>
              <w:t>何福</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default" w:eastAsia="宋体"/>
                <w:lang w:val="en-US" w:eastAsia="zh-CN"/>
              </w:rPr>
            </w:pPr>
            <w:r>
              <w:rPr>
                <w:rFonts w:hint="eastAsia"/>
                <w:lang w:val="en-US" w:eastAsia="zh-CN"/>
              </w:rPr>
              <w:t>配料→搅拌→储存→校验→出库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2022年05月19日 上午至2022年05月19日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天津市宁河区岳龙镇岳龙村西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E：混凝土外加剂的生产及相关环境管理活动</w:t>
            </w:r>
          </w:p>
          <w:p>
            <w:r>
              <w:t>O：混凝土外加剂的生产及相关职业健康安全管理活动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E：12.05.04</w:t>
            </w:r>
          </w:p>
          <w:p>
            <w:r>
              <w:t>O：12.05.04</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default" w:eastAsia="宋体"/>
                <w:lang w:val="en-US" w:eastAsia="zh-CN"/>
              </w:rPr>
            </w:pPr>
            <w:r>
              <w:rPr>
                <w:rFonts w:hint="eastAsia"/>
                <w:lang w:val="en-US" w:eastAsia="zh-CN"/>
              </w:rPr>
              <w:t>2021年3月20日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20211年10月9日</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有效至</w:t>
            </w:r>
            <w:r>
              <w:rPr>
                <w:rFonts w:hint="eastAsia"/>
                <w:lang w:val="en-US" w:eastAsia="zh-CN"/>
              </w:rPr>
              <w:t>2023年8月11日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天津市金盛源特种建材有限公司</w:t>
            </w:r>
            <w:r>
              <w:rPr>
                <w:rFonts w:hint="eastAsia"/>
                <w:sz w:val="21"/>
                <w:szCs w:val="21"/>
                <w:lang w:val="en-US" w:eastAsia="zh-CN"/>
              </w:rPr>
              <w:t>/</w:t>
            </w:r>
            <w:r>
              <w:rPr>
                <w:rFonts w:asciiTheme="minorEastAsia" w:hAnsiTheme="minorEastAsia" w:eastAsiaTheme="minorEastAsia"/>
                <w:sz w:val="20"/>
              </w:rPr>
              <w:t>天津市宁河区岳龙镇岳龙村西</w:t>
            </w:r>
          </w:p>
        </w:tc>
        <w:tc>
          <w:tcPr>
            <w:tcW w:w="2267" w:type="dxa"/>
          </w:tcPr>
          <w:p>
            <w:pPr>
              <w:rPr>
                <w:lang w:val="de-DE" w:eastAsia="ja-JP"/>
              </w:rPr>
            </w:pPr>
            <w:r>
              <w:rPr>
                <w:rFonts w:asciiTheme="minorEastAsia" w:hAnsiTheme="minorEastAsia" w:eastAsiaTheme="minorEastAsia"/>
                <w:sz w:val="20"/>
              </w:rPr>
              <w:t>天津市宁河区岳龙镇岳龙村西</w:t>
            </w:r>
          </w:p>
        </w:tc>
        <w:tc>
          <w:tcPr>
            <w:tcW w:w="571" w:type="dxa"/>
            <w:vAlign w:val="center"/>
          </w:tcPr>
          <w:p>
            <w:pPr>
              <w:rPr>
                <w:rFonts w:hint="default" w:eastAsia="宋体"/>
                <w:lang w:val="en-US" w:eastAsia="zh-CN"/>
              </w:rPr>
            </w:pPr>
            <w:r>
              <w:rPr>
                <w:rFonts w:hint="eastAsia"/>
                <w:lang w:val="en-US" w:eastAsia="zh-CN"/>
              </w:rPr>
              <w:t>45</w:t>
            </w:r>
          </w:p>
        </w:tc>
        <w:tc>
          <w:tcPr>
            <w:tcW w:w="2803" w:type="dxa"/>
            <w:vAlign w:val="center"/>
          </w:tcPr>
          <w:p>
            <w:pPr>
              <w:rPr>
                <w:sz w:val="20"/>
              </w:rPr>
            </w:pPr>
            <w:r>
              <w:rPr>
                <w:sz w:val="20"/>
              </w:rPr>
              <w:t>E：混凝土外加剂的生产及相关环境管理活动</w:t>
            </w:r>
          </w:p>
          <w:p>
            <w:pPr>
              <w:rPr>
                <w:lang w:eastAsia="ja-JP"/>
              </w:rPr>
            </w:pPr>
            <w:r>
              <w:rPr>
                <w:sz w:val="20"/>
              </w:rPr>
              <w:t>O：混凝土外加剂的生产及相关职业健康安全管理活动</w:t>
            </w:r>
          </w:p>
        </w:tc>
        <w:tc>
          <w:tcPr>
            <w:tcW w:w="669" w:type="dxa"/>
            <w:vAlign w:val="center"/>
          </w:tcPr>
          <w:p>
            <w:pPr>
              <w:rPr>
                <w:rFonts w:hint="eastAsia"/>
                <w:lang w:eastAsia="ja-JP"/>
              </w:rPr>
            </w:pPr>
            <w:r>
              <w:rPr>
                <w:rFonts w:hint="eastAsia"/>
                <w:lang w:eastAsia="ja-JP"/>
              </w:rPr>
              <w:t>GB/T24001-2016</w:t>
            </w:r>
          </w:p>
          <w:p>
            <w:pPr>
              <w:pStyle w:val="12"/>
              <w:rPr>
                <w:lang w:eastAsia="ja-JP"/>
              </w:rPr>
            </w:pPr>
            <w:r>
              <w:rPr>
                <w:rFonts w:hint="eastAsia"/>
                <w:lang w:eastAsia="ja-JP"/>
              </w:rPr>
              <w:t>GB/T45001-2020</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组长</w:t>
            </w:r>
          </w:p>
        </w:tc>
        <w:tc>
          <w:tcPr>
            <w:tcW w:w="711" w:type="dxa"/>
            <w:vAlign w:val="center"/>
          </w:tcPr>
          <w:p>
            <w:r>
              <w:t>男</w:t>
            </w:r>
          </w:p>
        </w:tc>
        <w:tc>
          <w:tcPr>
            <w:tcW w:w="3870" w:type="dxa"/>
            <w:vAlign w:val="center"/>
          </w:tcPr>
          <w:p>
            <w:r>
              <w:t>2020-N1EMS-1262293</w:t>
            </w:r>
          </w:p>
          <w:p>
            <w:r>
              <w:t>2021-N1OHSMS-1262293</w:t>
            </w:r>
          </w:p>
        </w:tc>
        <w:tc>
          <w:tcPr>
            <w:tcW w:w="2179" w:type="dxa"/>
            <w:vAlign w:val="center"/>
          </w:tcPr>
          <w:p>
            <w:r>
              <w:t>E:12.05.04</w:t>
            </w:r>
          </w:p>
          <w:p>
            <w:r>
              <w:t>O:12.05.04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喻荣秋</w:t>
            </w:r>
          </w:p>
        </w:tc>
        <w:tc>
          <w:tcPr>
            <w:tcW w:w="1089" w:type="dxa"/>
            <w:vAlign w:val="center"/>
          </w:tcPr>
          <w:p>
            <w:r>
              <w:t>组员</w:t>
            </w:r>
          </w:p>
        </w:tc>
        <w:tc>
          <w:tcPr>
            <w:tcW w:w="711" w:type="dxa"/>
            <w:vAlign w:val="center"/>
          </w:tcPr>
          <w:p>
            <w:r>
              <w:t>女</w:t>
            </w:r>
          </w:p>
        </w:tc>
        <w:tc>
          <w:tcPr>
            <w:tcW w:w="3870" w:type="dxa"/>
            <w:vAlign w:val="center"/>
          </w:tcPr>
          <w:p>
            <w:r>
              <w:t>2021-N1EMS-1274747</w:t>
            </w:r>
          </w:p>
        </w:tc>
        <w:tc>
          <w:tcPr>
            <w:tcW w:w="2179" w:type="dxa"/>
            <w:vAlign w:val="center"/>
          </w:tcPr>
          <w:p>
            <w:r>
              <w:t>E:12.05.04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w:t>
            </w:r>
          </w:p>
        </w:tc>
        <w:tc>
          <w:tcPr>
            <w:tcW w:w="1089" w:type="dxa"/>
            <w:vAlign w:val="center"/>
          </w:tcPr>
          <w:p>
            <w:r>
              <w:t>组员</w:t>
            </w:r>
          </w:p>
        </w:tc>
        <w:tc>
          <w:tcPr>
            <w:tcW w:w="711" w:type="dxa"/>
            <w:vAlign w:val="center"/>
          </w:tcPr>
          <w:p>
            <w:r>
              <w:t>男</w:t>
            </w:r>
          </w:p>
        </w:tc>
        <w:tc>
          <w:tcPr>
            <w:tcW w:w="3870" w:type="dxa"/>
            <w:vAlign w:val="center"/>
          </w:tcPr>
          <w:p>
            <w:r>
              <w:t>2020-N1EMS-2226478</w:t>
            </w:r>
          </w:p>
          <w:p>
            <w:r>
              <w:t>2020-N1OHSMS-2226478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混凝土外加剂的生产及相关环境管理活动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混凝土外加剂的生产及相关职业健康安全管理活动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2336" behindDoc="0" locked="0" layoutInCell="1" allowOverlap="1">
                  <wp:simplePos x="0" y="0"/>
                  <wp:positionH relativeFrom="column">
                    <wp:posOffset>262255</wp:posOffset>
                  </wp:positionH>
                  <wp:positionV relativeFrom="paragraph">
                    <wp:posOffset>61595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a:stretch>
                            <a:fillRect/>
                          </a:stretch>
                        </pic:blipFill>
                        <pic:spPr>
                          <a:xfrm>
                            <a:off x="0" y="0"/>
                            <a:ext cx="544830" cy="24892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2022年5月21日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A3"/>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A3"/>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 xml:space="preserve">□政治 □监管  </w:t>
                  </w:r>
                  <w:r>
                    <w:rPr>
                      <w:rFonts w:hint="eastAsia"/>
                    </w:rPr>
                    <w:sym w:font="Wingdings 2" w:char="0052"/>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□知识 </w:t>
                  </w:r>
                  <w:r>
                    <w:rPr>
                      <w:rFonts w:hint="eastAsia"/>
                    </w:rPr>
                    <w:sym w:font="Wingdings 2" w:char="00A3"/>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采购□人力资源□营销和市场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sym w:font="Wingdings 2" w:char="0052"/>
            </w: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w:t>
            </w:r>
            <w:r>
              <w:rPr>
                <w:rFonts w:hint="eastAsia"/>
              </w:rPr>
              <w:sym w:font="Wingdings 2" w:char="00A3"/>
            </w:r>
            <w:r>
              <w:rPr>
                <w:rFonts w:hint="eastAsia"/>
              </w:rPr>
              <w:t>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最高管理者制定了文件化的管理体系方针：诚信至上，质量为主，优质高效；</w:t>
            </w:r>
          </w:p>
          <w:p>
            <w:pPr>
              <w:shd w:val="clear" w:color="auto" w:fill="EBF1DE" w:themeFill="accent3" w:themeFillTint="32"/>
              <w:rPr>
                <w:rFonts w:hint="eastAsia"/>
              </w:rPr>
            </w:pPr>
            <w:r>
              <w:rPr>
                <w:rFonts w:hint="eastAsia"/>
              </w:rPr>
              <w:t>节能降耗，防治污染，保护环境；</w:t>
            </w:r>
          </w:p>
          <w:p>
            <w:pPr>
              <w:shd w:val="clear" w:color="auto" w:fill="EBF1DE" w:themeFill="accent3" w:themeFillTint="32"/>
              <w:rPr>
                <w:rFonts w:hint="eastAsia"/>
              </w:rPr>
            </w:pPr>
            <w:r>
              <w:rPr>
                <w:rFonts w:hint="eastAsia"/>
              </w:rPr>
              <w:t>安全第一，保障健康，减少风险；</w:t>
            </w:r>
          </w:p>
          <w:p>
            <w:pPr>
              <w:shd w:val="clear" w:color="auto" w:fill="EBF1DE" w:themeFill="accent3" w:themeFillTint="32"/>
            </w:pPr>
            <w:r>
              <w:rPr>
                <w:rFonts w:hint="eastAsia"/>
              </w:rPr>
              <w:t>全员参与，遵守法规，持续改进。</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国家政策改变、地理环境变化、外部环境变化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遵守相关法律法规、采取各种环保措施</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资源消耗□废水排放□废气排放</w:t>
            </w:r>
            <w:r>
              <w:rPr>
                <w:rFonts w:hint="eastAsia"/>
              </w:rPr>
              <w:sym w:font="Wingdings 2" w:char="0052"/>
            </w:r>
            <w:r>
              <w:rPr>
                <w:rFonts w:hint="eastAsia"/>
              </w:rPr>
              <w:t>粉尘排放□危废排放</w:t>
            </w:r>
            <w:r>
              <w:rPr>
                <w:rFonts w:hint="eastAsia"/>
              </w:rPr>
              <w:sym w:font="Wingdings 2" w:char="0052"/>
            </w:r>
            <w:r>
              <w:rPr>
                <w:rFonts w:hint="eastAsia"/>
              </w:rPr>
              <w:t>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sym w:font="Wingdings 2" w:char="0052"/>
            </w:r>
            <w:r>
              <w:rPr>
                <w:rFonts w:hint="eastAsia"/>
              </w:rPr>
              <w:t>排污许可证编号：</w:t>
            </w:r>
            <w:r>
              <w:rPr>
                <w:rFonts w:hint="eastAsia"/>
                <w:sz w:val="21"/>
                <w:szCs w:val="21"/>
                <w:highlight w:val="none"/>
                <w:lang w:val="en-US" w:eastAsia="zh-CN"/>
              </w:rPr>
              <w:t>91120221553449887M001U</w:t>
            </w:r>
          </w:p>
          <w:p>
            <w:pPr>
              <w:shd w:val="clear" w:color="auto" w:fill="EBF1DE" w:themeFill="accent3" w:themeFillTint="32"/>
            </w:pPr>
            <w:r>
              <w:rPr>
                <w:rFonts w:hint="eastAsia"/>
              </w:rPr>
              <w:t>□环境影响登记表日期：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环境影响报告表日期：</w:t>
            </w:r>
            <w:r>
              <w:rPr>
                <w:rFonts w:hint="eastAsia"/>
                <w:lang w:val="en-US" w:eastAsia="zh-CN"/>
              </w:rPr>
              <w:t>2013年3月</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rPr>
              <w:sym w:font="Wingdings 2" w:char="0052"/>
            </w:r>
            <w:r>
              <w:rPr>
                <w:rFonts w:hint="eastAsia"/>
              </w:rPr>
              <w:t>除尘设备</w:t>
            </w:r>
            <w:r>
              <w:rPr>
                <w:rFonts w:hint="eastAsia"/>
              </w:rPr>
              <w:sym w:font="Wingdings 2" w:char="0052"/>
            </w:r>
            <w:r>
              <w:rPr>
                <w:rFonts w:hint="eastAsia"/>
              </w:rPr>
              <w:t>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固废分类处理率100%</w:t>
                  </w:r>
                </w:p>
              </w:tc>
              <w:tc>
                <w:tcPr>
                  <w:tcW w:w="3136" w:type="dxa"/>
                  <w:shd w:val="clear" w:color="auto" w:fill="auto"/>
                  <w:vAlign w:val="center"/>
                </w:tcPr>
                <w:p>
                  <w:pPr>
                    <w:shd w:val="clear" w:color="auto" w:fill="EBF1DE" w:themeFill="accent3" w:themeFillTint="32"/>
                    <w:rPr>
                      <w:rFonts w:hint="eastAsia" w:ascii="楷体" w:hAnsi="楷体" w:eastAsia="楷体" w:cs="楷体"/>
                      <w:kern w:val="0"/>
                      <w:sz w:val="22"/>
                      <w:szCs w:val="24"/>
                      <w:lang w:val="en-GB" w:eastAsia="zh-CN" w:bidi="ar-SA"/>
                    </w:rPr>
                  </w:pPr>
                  <w:r>
                    <w:rPr>
                      <w:rFonts w:hint="eastAsia" w:ascii="楷体" w:hAnsi="楷体" w:eastAsia="楷体" w:cs="楷体"/>
                      <w:kern w:val="0"/>
                      <w:sz w:val="22"/>
                      <w:lang w:val="en-US" w:eastAsia="zh-CN"/>
                    </w:rPr>
                    <w:t>管理方案、应急预案</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GB" w:eastAsia="zh-CN" w:bidi="ar-SA"/>
                    </w:rPr>
                  </w:pPr>
                  <w:r>
                    <w:rPr>
                      <w:rFonts w:hint="eastAsia" w:ascii="Times New Roman" w:hAnsi="Times New Roman" w:eastAsia="宋体" w:cs="Times New Roman"/>
                      <w:kern w:val="2"/>
                      <w:sz w:val="21"/>
                      <w:szCs w:val="24"/>
                      <w:lang w:val="en-US" w:eastAsia="zh-CN" w:bidi="ar-SA"/>
                    </w:rPr>
                    <w:t>综合管理部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火灾事故为0</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ascii="楷体" w:hAnsi="楷体" w:eastAsia="楷体" w:cs="楷体"/>
                      <w:kern w:val="0"/>
                      <w:sz w:val="22"/>
                      <w:lang w:val="en-US" w:eastAsia="zh-CN"/>
                    </w:rPr>
                    <w:t>管理方案</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综合管理部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13000</w:t>
            </w:r>
            <w:r>
              <w:rPr>
                <w:rFonts w:hint="eastAsia"/>
              </w:rPr>
              <w:t>平方米；生产车间个；库房个；实验室个；</w:t>
            </w:r>
          </w:p>
          <w:p>
            <w:pPr>
              <w:shd w:val="clear" w:color="auto" w:fill="EBF1DE" w:themeFill="accent3" w:themeFillTint="32"/>
              <w:rPr>
                <w:u w:val="single"/>
              </w:rPr>
            </w:pPr>
            <w:r>
              <w:rPr>
                <w:rFonts w:hint="eastAsia"/>
              </w:rPr>
              <w:t>主要生产设备有：球磨机</w:t>
            </w:r>
            <w:r>
              <w:rPr>
                <w:rFonts w:hint="eastAsia"/>
                <w:lang w:eastAsia="zh-CN"/>
              </w:rPr>
              <w:t>、</w:t>
            </w:r>
            <w:r>
              <w:rPr>
                <w:rFonts w:hint="eastAsia"/>
                <w:lang w:val="en-US" w:eastAsia="zh-CN"/>
              </w:rPr>
              <w:t>皮带机、风机、变配电室</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lang w:val="en-US" w:eastAsia="zh-CN"/>
              </w:rPr>
              <w:t>除尘器、减震基础</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A3"/>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应急预案及 应急演练</w:t>
                  </w:r>
                </w:p>
              </w:tc>
              <w:tc>
                <w:tcPr>
                  <w:tcW w:w="3265" w:type="dxa"/>
                  <w:vAlign w:val="center"/>
                </w:tcPr>
                <w:p>
                  <w:pPr>
                    <w:spacing w:line="360" w:lineRule="exac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2021年10月22日</w:t>
            </w:r>
            <w:r>
              <w:rPr>
                <w:rFonts w:hint="eastAsia"/>
              </w:rPr>
              <w:t>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2021年11月15日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b w:val="0"/>
                <w:bCs/>
                <w:color w:val="000000"/>
                <w:sz w:val="21"/>
                <w:szCs w:val="21"/>
                <w:highlight w:val="none"/>
                <w:lang w:val="en-US" w:eastAsia="zh-CN"/>
              </w:rPr>
              <w:t>LHR-Q-20220303-1</w:t>
            </w:r>
            <w:r>
              <w:rPr>
                <w:rFonts w:hint="eastAsia"/>
              </w:rPr>
              <w:t>。</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2021年10月15-16日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2021年10月25日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自我检查的结果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3</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文化□知识□绩效□工艺□设备</w:t>
                  </w:r>
                  <w:r>
                    <w:rPr>
                      <w:rFonts w:hint="eastAsia"/>
                    </w:rPr>
                    <w:sym w:font="Wingdings 2" w:char="0052"/>
                  </w:r>
                  <w:r>
                    <w:rPr>
                      <w:rFonts w:hint="eastAsia"/>
                    </w:rPr>
                    <w:t>人员能力</w:t>
                  </w:r>
                </w:p>
                <w:p>
                  <w:pPr>
                    <w:rPr>
                      <w:rFonts w:ascii="Times New Roman" w:hAnsi="Times New Roman" w:eastAsia="宋体" w:cs="Times New Roman"/>
                      <w:kern w:val="2"/>
                      <w:sz w:val="21"/>
                      <w:szCs w:val="24"/>
                      <w:lang w:val="en-US" w:eastAsia="zh-CN" w:bidi="ar-SA"/>
                    </w:rPr>
                  </w:pP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w:t>
            </w:r>
            <w:r>
              <w:rPr>
                <w:rFonts w:hint="eastAsia"/>
              </w:rPr>
              <w:sym w:font="Wingdings 2" w:char="0052"/>
            </w:r>
            <w:r>
              <w:rPr>
                <w:rFonts w:hint="eastAsia"/>
              </w:rPr>
              <w:t>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最高管理者制定了文件化的职业健康安全管理体系方针：诚信至上，质量为主，优质高效；</w:t>
            </w:r>
          </w:p>
          <w:p>
            <w:pPr>
              <w:rPr>
                <w:rFonts w:hint="eastAsia"/>
              </w:rPr>
            </w:pPr>
            <w:r>
              <w:rPr>
                <w:rFonts w:hint="eastAsia"/>
              </w:rPr>
              <w:t>节能降耗，防治污染，保护环境；</w:t>
            </w:r>
          </w:p>
          <w:p>
            <w:pPr>
              <w:rPr>
                <w:rFonts w:hint="eastAsia"/>
              </w:rPr>
            </w:pPr>
            <w:r>
              <w:rPr>
                <w:rFonts w:hint="eastAsia"/>
              </w:rPr>
              <w:t>安全第一，保障健康，减少风险；</w:t>
            </w:r>
          </w:p>
          <w:p>
            <w:pPr>
              <w:rPr>
                <w:u w:val="single"/>
              </w:rPr>
            </w:pPr>
            <w:r>
              <w:rPr>
                <w:rFonts w:hint="eastAsia"/>
              </w:rPr>
              <w:t>全员参与，遵守法规，持续改进。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综合部</w:t>
            </w:r>
          </w:p>
          <w:p>
            <w:pPr>
              <w:rPr>
                <w:rFonts w:hint="eastAsia"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何福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生产过程</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遵守法律法规和规章制度，加强安全培训</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w:t>
            </w:r>
            <w:r>
              <w:rPr>
                <w:rFonts w:hint="eastAsia"/>
              </w:rPr>
              <w:sym w:font="Wingdings 2" w:char="0052"/>
            </w:r>
            <w:r>
              <w:rPr>
                <w:rFonts w:hint="eastAsia"/>
              </w:rPr>
              <w:t>噪声</w:t>
            </w:r>
            <w:r>
              <w:rPr>
                <w:rFonts w:hint="eastAsia"/>
              </w:rPr>
              <w:sym w:font="Wingdings 2" w:char="0052"/>
            </w:r>
            <w:r>
              <w:rPr>
                <w:rFonts w:hint="eastAsia"/>
              </w:rPr>
              <w:t>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pPr>
              <w:rPr>
                <w:rFonts w:hint="default" w:eastAsia="宋体"/>
                <w:lang w:val="en-US" w:eastAsia="zh-CN"/>
              </w:rPr>
            </w:pPr>
            <w:r>
              <w:rPr>
                <w:rFonts w:hint="eastAsia"/>
              </w:rPr>
              <w:sym w:font="Wingdings 2" w:char="0052"/>
            </w:r>
            <w:r>
              <w:rPr>
                <w:rFonts w:hint="eastAsia"/>
              </w:rPr>
              <w:t>安全现状评估报告表日期：</w:t>
            </w:r>
            <w:r>
              <w:rPr>
                <w:rFonts w:hint="eastAsia"/>
                <w:lang w:val="en-US" w:eastAsia="zh-CN"/>
              </w:rPr>
              <w:t>2021年11月</w:t>
            </w:r>
          </w:p>
          <w:p>
            <w:pPr>
              <w:rPr>
                <w:rFonts w:hint="default" w:eastAsia="宋体"/>
                <w:lang w:val="en-US" w:eastAsia="zh-CN"/>
              </w:rPr>
            </w:pPr>
            <w:r>
              <w:rPr>
                <w:rFonts w:hint="eastAsia"/>
              </w:rPr>
              <w:sym w:font="Wingdings 2" w:char="0052"/>
            </w:r>
            <w:r>
              <w:rPr>
                <w:rFonts w:hint="eastAsia"/>
              </w:rPr>
              <w:t>职业病体检报告书日期：</w:t>
            </w:r>
            <w:r>
              <w:rPr>
                <w:rFonts w:hint="eastAsia"/>
                <w:lang w:val="en-US" w:eastAsia="zh-CN"/>
              </w:rPr>
              <w:t>2021年7月</w:t>
            </w:r>
          </w:p>
          <w:p>
            <w:r>
              <w:rPr>
                <w:rFonts w:hint="eastAsia"/>
              </w:rPr>
              <w:t>□消防验收/备案证明日期：</w:t>
            </w:r>
          </w:p>
          <w:p>
            <w:pPr>
              <w:rPr>
                <w:highlight w:val="cyan"/>
              </w:rPr>
            </w:pP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w:t>
            </w:r>
            <w:r>
              <w:rPr>
                <w:rFonts w:hint="eastAsia"/>
              </w:rPr>
              <w:sym w:font="Wingdings 2" w:char="0052"/>
            </w:r>
            <w:r>
              <w:rPr>
                <w:rFonts w:hint="eastAsia"/>
              </w:rPr>
              <w:t>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火灾事故为0</w:t>
                  </w:r>
                </w:p>
              </w:tc>
              <w:tc>
                <w:tcPr>
                  <w:tcW w:w="3136" w:type="dxa"/>
                  <w:shd w:val="clear" w:color="auto" w:fill="auto"/>
                  <w:vAlign w:val="center"/>
                </w:tcPr>
                <w:p>
                  <w:pPr>
                    <w:rPr>
                      <w:rFonts w:hint="default" w:ascii="Times New Roman" w:hAnsi="Times New Roman" w:eastAsia="宋体" w:cs="Times New Roman"/>
                      <w:kern w:val="2"/>
                      <w:sz w:val="21"/>
                      <w:szCs w:val="24"/>
                      <w:lang w:val="en-GB" w:eastAsia="zh-CN" w:bidi="ar-SA"/>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rPr>
                      <w:rFonts w:hint="eastAsia" w:ascii="Times New Roman" w:hAnsi="Times New Roman" w:eastAsia="宋体" w:cs="Times New Roman"/>
                      <w:kern w:val="2"/>
                      <w:sz w:val="21"/>
                      <w:szCs w:val="24"/>
                      <w:lang w:val="en-GB" w:eastAsia="zh-CN" w:bidi="ar-SA"/>
                    </w:rPr>
                  </w:pPr>
                  <w:r>
                    <w:rPr>
                      <w:rFonts w:hint="eastAsia"/>
                      <w:lang w:val="en-US" w:eastAsia="zh-CN"/>
                    </w:rPr>
                    <w:t>综合部</w:t>
                  </w:r>
                </w:p>
              </w:tc>
              <w:tc>
                <w:tcPr>
                  <w:tcW w:w="1774" w:type="dxa"/>
                  <w:shd w:val="clear" w:color="auto" w:fill="auto"/>
                  <w:vAlign w:val="center"/>
                </w:tcPr>
                <w:p>
                  <w:pPr>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sz w:val="21"/>
                      <w:szCs w:val="21"/>
                    </w:rPr>
                    <w:t>重大工伤事故0次/年；轻伤事故≤2次/年</w:t>
                  </w:r>
                </w:p>
              </w:tc>
              <w:tc>
                <w:tcPr>
                  <w:tcW w:w="3136" w:type="dxa"/>
                  <w:shd w:val="clear" w:color="auto" w:fill="auto"/>
                  <w:vAlign w:val="center"/>
                </w:tcPr>
                <w:p>
                  <w:pPr>
                    <w:rPr>
                      <w:rFonts w:hint="default" w:ascii="Times New Roman" w:hAnsi="Times New Roman" w:eastAsia="宋体" w:cs="Times New Roman"/>
                      <w:kern w:val="2"/>
                      <w:sz w:val="21"/>
                      <w:szCs w:val="24"/>
                      <w:lang w:val="en-GB" w:eastAsia="zh-CN" w:bidi="ar-SA"/>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rPr>
                      <w:rFonts w:hint="eastAsia" w:ascii="Times New Roman" w:hAnsi="Times New Roman" w:eastAsia="宋体" w:cs="Times New Roman"/>
                      <w:kern w:val="2"/>
                      <w:sz w:val="21"/>
                      <w:szCs w:val="24"/>
                      <w:lang w:val="en-GB" w:eastAsia="zh-CN" w:bidi="ar-SA"/>
                    </w:rPr>
                  </w:pPr>
                  <w:r>
                    <w:rPr>
                      <w:rFonts w:hint="eastAsia"/>
                      <w:lang w:val="en-US" w:eastAsia="zh-CN"/>
                    </w:rPr>
                    <w:t>生产部</w:t>
                  </w:r>
                </w:p>
              </w:tc>
              <w:tc>
                <w:tcPr>
                  <w:tcW w:w="1774" w:type="dxa"/>
                  <w:shd w:val="clear" w:color="auto" w:fill="auto"/>
                  <w:vAlign w:val="center"/>
                </w:tcPr>
                <w:p>
                  <w:pPr>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13000</w:t>
            </w:r>
            <w:r>
              <w:rPr>
                <w:rFonts w:hint="eastAsia"/>
              </w:rPr>
              <w:t>平方米；生产车间个；库房个；实验室个；</w:t>
            </w:r>
          </w:p>
          <w:p>
            <w:pPr>
              <w:rPr>
                <w:u w:val="single"/>
              </w:rPr>
            </w:pPr>
            <w:r>
              <w:rPr>
                <w:rFonts w:hint="eastAsia"/>
              </w:rPr>
              <w:t>主要生产设备有：</w:t>
            </w:r>
            <w:r>
              <w:rPr>
                <w:rFonts w:hint="eastAsia"/>
                <w:u w:val="single"/>
              </w:rPr>
              <w:t>（球磨机</w:t>
            </w:r>
            <w:r>
              <w:rPr>
                <w:rFonts w:hint="eastAsia"/>
                <w:u w:val="single"/>
                <w:lang w:eastAsia="zh-CN"/>
              </w:rPr>
              <w:t>、</w:t>
            </w:r>
            <w:r>
              <w:rPr>
                <w:rFonts w:hint="eastAsia"/>
                <w:u w:val="single"/>
                <w:lang w:val="en-US" w:eastAsia="zh-CN"/>
              </w:rPr>
              <w:t>皮带机、风机、变配电室</w:t>
            </w:r>
            <w:r>
              <w:rPr>
                <w:rFonts w:hint="eastAsia"/>
                <w:u w:val="single"/>
              </w:rPr>
              <w:t>列举2~4种）</w:t>
            </w:r>
          </w:p>
          <w:p>
            <w:r>
              <w:rPr>
                <w:rFonts w:hint="eastAsia"/>
              </w:rPr>
              <w:t>主要安全装置有：</w:t>
            </w:r>
          </w:p>
          <w:p>
            <w:r>
              <w:rPr>
                <w:rFonts w:hint="eastAsia" w:ascii="Wingdings" w:hAnsi="Wingdings"/>
                <w:lang w:eastAsia="zh-CN"/>
              </w:rPr>
              <w:sym w:font="Wingdings 2" w:char="0052"/>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r>
              <w:rPr>
                <w:rFonts w:hint="eastAsia"/>
              </w:rPr>
              <w:t>职业健康安全监测的计量器具有：</w:t>
            </w:r>
          </w:p>
          <w:p>
            <w:r>
              <w:rPr>
                <w:rFonts w:hint="eastAsia" w:ascii="Wingdings" w:hAnsi="Wingdings"/>
                <w:lang w:eastAsia="zh-CN"/>
              </w:rPr>
              <w:sym w:font="Wingdings 2" w:char="0052"/>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A3"/>
            </w:r>
            <w:r>
              <w:rPr>
                <w:rFonts w:hint="eastAsia"/>
              </w:rPr>
              <w:t>离职</w:t>
            </w:r>
          </w:p>
          <w:p>
            <w:pPr>
              <w:rPr>
                <w:rFonts w:ascii="Times New Roman" w:hAnsi="Times New Roman" w:eastAsia="宋体" w:cs="Times New Roman"/>
                <w:kern w:val="2"/>
                <w:sz w:val="21"/>
                <w:szCs w:val="24"/>
                <w:lang w:val="en-US" w:eastAsia="zh-CN" w:bidi="ar-SA"/>
              </w:rPr>
            </w:pPr>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pPr>
              <w:rPr>
                <w:rFonts w:ascii="Times New Roman" w:hAnsi="Times New Roman" w:eastAsia="宋体" w:cs="Times New Roman"/>
                <w:kern w:val="2"/>
                <w:sz w:val="21"/>
                <w:szCs w:val="24"/>
                <w:lang w:val="en-US" w:eastAsia="zh-CN" w:bidi="ar-SA"/>
              </w:rPr>
            </w:pPr>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sym w:font="Wingdings 2" w:char="0052"/>
            </w:r>
            <w:r>
              <w:rPr>
                <w:rFonts w:hint="eastAsia"/>
              </w:rPr>
              <w:t>用低危害材料、工艺、运行或设备替代；</w:t>
            </w:r>
          </w:p>
          <w:p>
            <w:r>
              <w:rPr>
                <w:rFonts w:hint="eastAsia" w:ascii="Wingdings" w:hAnsi="Wingdings"/>
                <w:lang w:eastAsia="zh-CN"/>
              </w:rPr>
              <w:sym w:font="Wingdings 2" w:char="00A3"/>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A3"/>
            </w:r>
            <w:r>
              <w:rPr>
                <w:rFonts w:hint="eastAsia"/>
              </w:rPr>
              <w:t>应急预案</w:t>
            </w:r>
            <w:r>
              <w:rPr>
                <w:rFonts w:hint="eastAsia" w:ascii="Wingdings" w:hAnsi="Wingdings"/>
                <w:lang w:eastAsia="zh-CN"/>
              </w:rPr>
              <w:sym w:font="Wingdings 2" w:char="0052"/>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除尘装置</w:t>
                  </w:r>
                  <w:r>
                    <w:rPr>
                      <w:rFonts w:hint="eastAsia"/>
                    </w:rPr>
                    <w:sym w:font="Wingdings 2" w:char="0052"/>
                  </w:r>
                  <w:r>
                    <w:rPr>
                      <w:rFonts w:hint="eastAsia"/>
                    </w:rPr>
                    <w:t>穿戴劳保用品（防尘面罩）</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eastAsia" w:eastAsia="宋体"/>
                      <w:lang w:val="en-US" w:eastAsia="zh-CN"/>
                    </w:rPr>
                  </w:pPr>
                  <w:r>
                    <w:rPr>
                      <w:rFonts w:hint="eastAsia"/>
                      <w:lang w:val="en-US" w:eastAsia="zh-CN"/>
                    </w:rPr>
                    <w:t>应急预案</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2021年10月22日</w:t>
            </w:r>
            <w:r>
              <w:rPr>
                <w:rFonts w:hint="eastAsia"/>
              </w:rPr>
              <w:t>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2021年11月15日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sz w:val="21"/>
                <w:szCs w:val="21"/>
              </w:rPr>
              <w:t>202</w:t>
            </w:r>
            <w:r>
              <w:rPr>
                <w:rFonts w:hint="eastAsia"/>
                <w:sz w:val="21"/>
                <w:szCs w:val="21"/>
                <w:lang w:val="en-US" w:eastAsia="zh-CN"/>
              </w:rPr>
              <w:t>1</w:t>
            </w:r>
            <w:r>
              <w:rPr>
                <w:rFonts w:hint="eastAsia"/>
                <w:sz w:val="21"/>
                <w:szCs w:val="21"/>
              </w:rPr>
              <w:t>年</w:t>
            </w:r>
            <w:r>
              <w:rPr>
                <w:rFonts w:hint="eastAsia"/>
                <w:sz w:val="21"/>
                <w:szCs w:val="21"/>
                <w:lang w:val="en-US" w:eastAsia="zh-CN"/>
              </w:rPr>
              <w:t>10</w:t>
            </w:r>
            <w:r>
              <w:rPr>
                <w:rFonts w:hint="eastAsia"/>
                <w:sz w:val="21"/>
                <w:szCs w:val="21"/>
              </w:rPr>
              <w:t>月</w:t>
            </w:r>
            <w:r>
              <w:rPr>
                <w:rFonts w:hint="eastAsia"/>
                <w:sz w:val="21"/>
                <w:szCs w:val="21"/>
                <w:lang w:val="en-US" w:eastAsia="zh-CN"/>
              </w:rPr>
              <w:t>15-16</w:t>
            </w:r>
            <w:r>
              <w:rPr>
                <w:rFonts w:hint="eastAsia"/>
                <w:sz w:val="21"/>
                <w:szCs w:val="21"/>
              </w:rPr>
              <w:t>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2021年10月25日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pPr>
              <w:rPr>
                <w:rFonts w:ascii="Times New Roman" w:hAnsi="Times New Roman" w:eastAsia="宋体" w:cs="Times New Roman"/>
                <w:kern w:val="2"/>
                <w:sz w:val="21"/>
                <w:szCs w:val="24"/>
                <w:lang w:val="en-US" w:eastAsia="zh-CN" w:bidi="ar-SA"/>
              </w:rPr>
            </w:pPr>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组织持续改进了职业健康安全管理体系的适宜性、充分性和有效性，保留了作为持续改进证据的文件化信息。</w:t>
            </w:r>
          </w:p>
          <w:p>
            <w:pPr>
              <w:rPr>
                <w:rFonts w:ascii="Times New Roman" w:hAnsi="Times New Roman" w:eastAsia="宋体" w:cs="Times New Roman"/>
                <w:kern w:val="2"/>
                <w:sz w:val="21"/>
                <w:szCs w:val="24"/>
                <w:lang w:val="en-US" w:eastAsia="zh-CN" w:bidi="ar-SA"/>
              </w:rPr>
            </w:pPr>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9"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9"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9" w:type="dxa"/>
            <w:shd w:val="clear" w:color="auto" w:fill="F2DCDC" w:themeFill="accent2" w:themeFillTint="32"/>
            <w:vAlign w:val="center"/>
          </w:tcPr>
          <w:p>
            <w:pPr>
              <w:rPr>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9"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9" w:type="dxa"/>
            <w:shd w:val="clear" w:color="auto" w:fill="F2DCDC" w:themeFill="accent2" w:themeFillTint="32"/>
            <w:vAlign w:val="center"/>
          </w:tcPr>
          <w:p>
            <w:pPr>
              <w:rPr>
                <w:lang w:eastAsia="ja-JP"/>
              </w:rPr>
            </w:pPr>
            <w:r>
              <w:rPr>
                <w:rFonts w:hint="eastAsia"/>
                <w:highlight w:val="none"/>
                <w:lang w:val="en-US" w:eastAsia="zh-CN"/>
              </w:rPr>
              <w:t>3</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9" w:type="dxa"/>
            <w:shd w:val="clear" w:color="auto" w:fill="F2DCDC" w:themeFill="accent2" w:themeFillTint="32"/>
            <w:vAlign w:val="center"/>
          </w:tcPr>
          <w:p>
            <w:pPr>
              <w:rPr>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4" w:name="_GoBack"/>
            <w:bookmarkEnd w:id="34"/>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QyZmQ4MWM5YTdlOTM3ZWEzMDQwZGU2MjkwZTUyZWYifQ=="/>
  </w:docVars>
  <w:rsids>
    <w:rsidRoot w:val="00000000"/>
    <w:rsid w:val="04FF0F1C"/>
    <w:rsid w:val="64B109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14161</Words>
  <Characters>14831</Characters>
  <Lines>150</Lines>
  <Paragraphs>42</Paragraphs>
  <TotalTime>0</TotalTime>
  <ScaleCrop>false</ScaleCrop>
  <LinksUpToDate>false</LinksUpToDate>
  <CharactersWithSpaces>14933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2022-06-08T02:50:08Z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