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jc w:val="center"/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成都尊上伯乐文化传播有限公司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35.05.01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刘凤芝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35.05.01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广告设计流程图：</w:t>
            </w:r>
          </w:p>
          <w:p>
            <w:pPr>
              <w:snapToGrid w:val="0"/>
              <w:spacing w:line="36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接到任务-需求分析-概要设计-详细设计-设计确认</w:t>
            </w:r>
          </w:p>
          <w:p>
            <w:pPr>
              <w:snapToGrid w:val="0"/>
              <w:spacing w:line="36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广告制作流程图：</w:t>
            </w:r>
          </w:p>
          <w:p>
            <w:pPr>
              <w:snapToGrid w:val="0"/>
              <w:spacing w:line="36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1、平面广告制作：接到任务-需求分析-概要设计-详细设计-设计确认-喷绘制作</w:t>
            </w:r>
          </w:p>
          <w:p>
            <w:pPr>
              <w:snapToGrid w:val="0"/>
              <w:spacing w:line="36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2、视频广告制作：接到任务-前期计划-拍摄素材-内容制作-后期编辑-交付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需要确认的过程：设计过程；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主要控制方式：客户合同要求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中华人民共和国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民法典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、中华人民共和国劳动法、中华人民共和国质量法、中华人民共和国广告法、中华人民共和国著作权法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 xml:space="preserve">、城市户外广告设施技术规范 CJJ 149-2010 、户外钢结构独立柱广告牌  07SG526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B047F5B"/>
    <w:rsid w:val="11800151"/>
    <w:rsid w:val="1E276524"/>
    <w:rsid w:val="57B42486"/>
    <w:rsid w:val="59316522"/>
    <w:rsid w:val="67254250"/>
    <w:rsid w:val="75721FF0"/>
    <w:rsid w:val="7C0D1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2022-01-08T00:51:01Z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2052-11.1.0.11194</vt:lpwstr>
  </property>
</Properties>
</file>