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四川天森农牧设备制造有限公司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饲料加工设备、农牧机电设备（不含汽车）、环保机械的制造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四川天森农牧设备制造有限公司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2022年01月15日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1C4318BF"/>
    <w:rsid w:val="20365AD6"/>
    <w:rsid w:val="21BF393F"/>
    <w:rsid w:val="22CC44B0"/>
    <w:rsid w:val="2BE7163F"/>
    <w:rsid w:val="2DF067B5"/>
    <w:rsid w:val="2E4C3F8E"/>
    <w:rsid w:val="35063E97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2022-01-13T05:48:52Z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E8683BD7246F474BAFCE079D401F0FBA</vt:lpwstr>
  </property>
</Properties>
</file>