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6229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875896">
              <w:rPr>
                <w:rFonts w:hint="eastAsia"/>
                <w:sz w:val="24"/>
                <w:szCs w:val="24"/>
              </w:rPr>
              <w:t>销售部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FB2D1C">
              <w:rPr>
                <w:rFonts w:hint="eastAsia"/>
                <w:sz w:val="24"/>
                <w:szCs w:val="24"/>
              </w:rPr>
              <w:t xml:space="preserve"> </w:t>
            </w:r>
            <w:r w:rsidR="006229C9">
              <w:rPr>
                <w:rFonts w:hint="eastAsia"/>
                <w:sz w:val="24"/>
                <w:szCs w:val="24"/>
              </w:rPr>
              <w:t>主管领导</w:t>
            </w:r>
            <w:r w:rsidR="006229C9">
              <w:rPr>
                <w:rFonts w:hint="eastAsia"/>
                <w:sz w:val="24"/>
                <w:szCs w:val="24"/>
              </w:rPr>
              <w:t>/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75896" w:rsidRPr="00875896">
              <w:rPr>
                <w:rFonts w:hint="eastAsia"/>
                <w:sz w:val="24"/>
                <w:szCs w:val="24"/>
              </w:rPr>
              <w:t>张志明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C8207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875896">
              <w:rPr>
                <w:rFonts w:hint="eastAsia"/>
                <w:sz w:val="24"/>
                <w:szCs w:val="24"/>
              </w:rPr>
              <w:t>、李芬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04236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</w:t>
            </w:r>
            <w:r w:rsidR="006229C9">
              <w:rPr>
                <w:rFonts w:hint="eastAsia"/>
                <w:sz w:val="24"/>
                <w:szCs w:val="24"/>
              </w:rPr>
              <w:t>1</w:t>
            </w:r>
            <w:r w:rsidR="003C4F12">
              <w:rPr>
                <w:rFonts w:hint="eastAsia"/>
                <w:sz w:val="24"/>
                <w:szCs w:val="24"/>
              </w:rPr>
              <w:t>.</w:t>
            </w:r>
            <w:r w:rsidR="0087589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875896">
              <w:rPr>
                <w:rFonts w:hint="eastAsia"/>
                <w:sz w:val="24"/>
                <w:szCs w:val="24"/>
              </w:rPr>
              <w:t>7</w:t>
            </w:r>
            <w:r w:rsidR="0020482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75896" w:rsidRPr="00875896" w:rsidRDefault="00875896" w:rsidP="00875896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产品和服务的要求、、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顾客满意、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8.5.5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交付后的活动</w:t>
            </w:r>
          </w:p>
          <w:p w:rsidR="008432E7" w:rsidRDefault="00875896" w:rsidP="00875896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875896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  <w:r w:rsidR="0002467A" w:rsidRPr="0002467A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9755" w:type="dxa"/>
            <w:vAlign w:val="center"/>
          </w:tcPr>
          <w:p w:rsidR="00A72E5E" w:rsidRDefault="008F1EA4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</w:t>
            </w:r>
            <w:r w:rsidR="00875896">
              <w:rPr>
                <w:rFonts w:eastAsiaTheme="minorEastAsia" w:hAnsiTheme="minorEastAsia" w:hint="eastAsia"/>
                <w:sz w:val="24"/>
                <w:szCs w:val="24"/>
              </w:rPr>
              <w:t>张志明</w:t>
            </w:r>
            <w:r w:rsidR="00A72E5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8432E7" w:rsidRPr="00FA6258" w:rsidRDefault="00A72E5E" w:rsidP="0087589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介绍说部门主要职责为</w:t>
            </w:r>
            <w:r w:rsidR="00875896">
              <w:rPr>
                <w:rFonts w:eastAsiaTheme="minorEastAsia" w:hAnsiTheme="minorEastAsia"/>
                <w:sz w:val="24"/>
                <w:szCs w:val="24"/>
              </w:rPr>
              <w:t>市场调研与开发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、商务谈判及合同评审，顾客</w:t>
            </w:r>
            <w:r w:rsidR="005452A1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</w:t>
            </w:r>
            <w:r w:rsidR="005452A1">
              <w:rPr>
                <w:rFonts w:eastAsiaTheme="minorEastAsia" w:hAnsiTheme="minorEastAsia" w:hint="eastAsia"/>
                <w:sz w:val="24"/>
                <w:szCs w:val="24"/>
              </w:rPr>
              <w:t>危险源的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A72E5E">
        <w:trPr>
          <w:trHeight w:val="40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5452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02467A"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9755" w:type="dxa"/>
            <w:vAlign w:val="center"/>
          </w:tcPr>
          <w:p w:rsidR="005452A1" w:rsidRPr="005452A1" w:rsidRDefault="005452A1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:rsidR="005452A1" w:rsidRPr="005452A1" w:rsidRDefault="005452A1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</w:p>
          <w:p w:rsidR="00DB3492" w:rsidRDefault="00DB3492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顾客满意度≥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95%</w:t>
            </w:r>
          </w:p>
          <w:p w:rsidR="00DB3492" w:rsidRDefault="00DB3492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订单评审（个性化需求订单）≥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95%</w:t>
            </w:r>
          </w:p>
          <w:p w:rsidR="007D63FA" w:rsidRPr="007D63FA" w:rsidRDefault="007D63FA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固废合理处置率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D63FA" w:rsidRPr="007D63FA" w:rsidRDefault="007D63FA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火灾事故为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7D63FA" w:rsidRPr="007D63FA" w:rsidRDefault="007D63FA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重大安全事故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5452A1" w:rsidRPr="005452A1" w:rsidRDefault="007D63FA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交通事故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D63FA"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  <w:r w:rsidR="0002467A" w:rsidRPr="0002467A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="005452A1" w:rsidRPr="005452A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</w:p>
          <w:p w:rsidR="00A72E5E" w:rsidRPr="00FA6258" w:rsidRDefault="005452A1" w:rsidP="00204828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 w:rsidR="007D63FA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7D63F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7D63FA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7D63FA">
              <w:rPr>
                <w:rFonts w:eastAsiaTheme="minorEastAsia" w:hAnsiTheme="minorEastAsia" w:hint="eastAsia"/>
                <w:sz w:val="24"/>
                <w:szCs w:val="24"/>
              </w:rPr>
              <w:t>-12</w:t>
            </w:r>
            <w:r w:rsidR="007D63FA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5452A1">
              <w:rPr>
                <w:rFonts w:eastAsiaTheme="minorEastAsia" w:hAnsiTheme="minorEastAsia" w:hint="eastAsia"/>
                <w:sz w:val="24"/>
                <w:szCs w:val="24"/>
              </w:rPr>
              <w:t>考核情况，各分解目标已达成。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B32B4C" w:rsidTr="00B97E80">
        <w:trPr>
          <w:trHeight w:val="241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产品和服务的要求</w:t>
            </w: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  <w:r w:rsidRPr="00B32B4C">
              <w:rPr>
                <w:rFonts w:ascii="宋体" w:hAnsi="宋体" w:cs="Arial" w:hint="eastAsia"/>
                <w:spacing w:val="-6"/>
                <w:sz w:val="24"/>
                <w:szCs w:val="24"/>
              </w:rPr>
              <w:t>交付后的活动</w:t>
            </w: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ascii="宋体" w:hAnsi="宋体" w:cs="Arial"/>
                <w:spacing w:val="-6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Q8.2</w:t>
            </w: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B32B4C">
              <w:rPr>
                <w:rFonts w:eastAsiaTheme="minorEastAsia" w:hint="eastAsia"/>
                <w:sz w:val="24"/>
                <w:szCs w:val="24"/>
              </w:rPr>
              <w:t>Q8.5.5</w:t>
            </w:r>
          </w:p>
        </w:tc>
        <w:tc>
          <w:tcPr>
            <w:tcW w:w="9755" w:type="dxa"/>
          </w:tcPr>
          <w:p w:rsidR="00B32B4C" w:rsidRPr="00B32B4C" w:rsidRDefault="00875896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销售部</w:t>
            </w:r>
            <w:r w:rsidR="00B32B4C" w:rsidRPr="00B32B4C">
              <w:rPr>
                <w:rFonts w:eastAsiaTheme="minorEastAsia" w:hAnsiTheme="minorEastAsia"/>
                <w:sz w:val="24"/>
                <w:szCs w:val="24"/>
              </w:rPr>
              <w:t>负责人介绍沟通方式：主要是电话、资料传递、招投标会、交流会等形式宣传本公司有关产品及公司的有关信誉等。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公司主要通过客户的走访、交流会等了解市场的需求状态。主要以</w:t>
            </w:r>
            <w:r>
              <w:rPr>
                <w:rFonts w:eastAsiaTheme="minorEastAsia" w:hAnsiTheme="minorEastAsia"/>
                <w:sz w:val="24"/>
                <w:szCs w:val="24"/>
              </w:rPr>
              <w:t>洽谈合同、招标文件、订单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、电话等形式确定与产品有关的要求，均已保存或进行相应的记录。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介绍说，公司产品主要通过合同洽谈等方式</w:t>
            </w:r>
            <w:r>
              <w:rPr>
                <w:rFonts w:hint="eastAsia"/>
                <w:sz w:val="24"/>
                <w:szCs w:val="24"/>
              </w:rPr>
              <w:t>进行销售</w:t>
            </w:r>
            <w:r w:rsidRPr="00B32B4C">
              <w:rPr>
                <w:rFonts w:hint="eastAsia"/>
                <w:sz w:val="24"/>
                <w:szCs w:val="24"/>
              </w:rPr>
              <w:t>，抽查见：</w:t>
            </w:r>
          </w:p>
          <w:p w:rsidR="00B32B4C" w:rsidRPr="00497C28" w:rsidRDefault="00497C28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97C28">
              <w:rPr>
                <w:rFonts w:hint="eastAsia"/>
                <w:sz w:val="24"/>
                <w:szCs w:val="24"/>
              </w:rPr>
              <w:t>购销</w:t>
            </w:r>
            <w:r w:rsidR="00B32B4C" w:rsidRPr="00497C28">
              <w:rPr>
                <w:rFonts w:hint="eastAsia"/>
                <w:sz w:val="24"/>
                <w:szCs w:val="24"/>
              </w:rPr>
              <w:t>合同——</w:t>
            </w:r>
            <w:r w:rsidR="007D63FA">
              <w:rPr>
                <w:rFonts w:hint="eastAsia"/>
                <w:sz w:val="24"/>
                <w:szCs w:val="24"/>
              </w:rPr>
              <w:t>湖南铂盛建筑工程有限公司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="007D63FA" w:rsidRPr="007D63FA">
              <w:rPr>
                <w:rFonts w:hint="eastAsia"/>
                <w:sz w:val="24"/>
                <w:szCs w:val="24"/>
              </w:rPr>
              <w:t>蒸压加气混凝土板</w:t>
            </w:r>
            <w:r w:rsidR="00B32B4C" w:rsidRPr="00497C28">
              <w:rPr>
                <w:rFonts w:hint="eastAsia"/>
                <w:sz w:val="24"/>
                <w:szCs w:val="24"/>
              </w:rPr>
              <w:t>等</w:t>
            </w:r>
            <w:r w:rsidR="00B32B4C" w:rsidRPr="00497C28">
              <w:rPr>
                <w:rFonts w:hint="eastAsia"/>
                <w:sz w:val="24"/>
                <w:szCs w:val="24"/>
              </w:rPr>
              <w:t xml:space="preserve"> </w:t>
            </w:r>
            <w:r w:rsidR="00B32B4C" w:rsidRPr="00497C28">
              <w:rPr>
                <w:rFonts w:hint="eastAsia"/>
                <w:sz w:val="24"/>
                <w:szCs w:val="24"/>
              </w:rPr>
              <w:t>，</w:t>
            </w:r>
            <w:r w:rsidR="007D63FA">
              <w:rPr>
                <w:rFonts w:hint="eastAsia"/>
                <w:sz w:val="24"/>
                <w:szCs w:val="24"/>
              </w:rPr>
              <w:t>2021.12.12</w:t>
            </w:r>
            <w:r w:rsidR="00B32B4C" w:rsidRPr="00497C28">
              <w:rPr>
                <w:rFonts w:hint="eastAsia"/>
                <w:sz w:val="24"/>
                <w:szCs w:val="24"/>
              </w:rPr>
              <w:t>；</w:t>
            </w:r>
          </w:p>
          <w:p w:rsidR="00B32B4C" w:rsidRDefault="007D63FA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497C28" w:rsidRPr="00497C28">
              <w:rPr>
                <w:rFonts w:hint="eastAsia"/>
                <w:sz w:val="24"/>
                <w:szCs w:val="24"/>
              </w:rPr>
              <w:t>合同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浙江宸越建设有限公司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 w:rsidRPr="007D63FA">
              <w:rPr>
                <w:rFonts w:hint="eastAsia"/>
                <w:sz w:val="24"/>
                <w:szCs w:val="24"/>
              </w:rPr>
              <w:t>蒸压加气混凝土砌块</w:t>
            </w:r>
            <w:r w:rsidR="00B32B4C" w:rsidRPr="00497C28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2021.11.29</w:t>
            </w:r>
          </w:p>
          <w:p w:rsidR="007D63FA" w:rsidRDefault="007D63FA" w:rsidP="007D63F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Pr="00497C28">
              <w:rPr>
                <w:rFonts w:hint="eastAsia"/>
                <w:sz w:val="24"/>
                <w:szCs w:val="24"/>
              </w:rPr>
              <w:t>合同——</w:t>
            </w:r>
            <w:r>
              <w:rPr>
                <w:rFonts w:hint="eastAsia"/>
                <w:sz w:val="24"/>
                <w:szCs w:val="24"/>
              </w:rPr>
              <w:t>金华市驰诚建材贸易有限公司</w:t>
            </w:r>
            <w:r w:rsidRPr="00497C28">
              <w:rPr>
                <w:rFonts w:hint="eastAsia"/>
                <w:sz w:val="24"/>
                <w:szCs w:val="24"/>
              </w:rPr>
              <w:t>——</w:t>
            </w:r>
            <w:r w:rsidRPr="007D63FA">
              <w:rPr>
                <w:rFonts w:hint="eastAsia"/>
                <w:sz w:val="24"/>
                <w:szCs w:val="24"/>
              </w:rPr>
              <w:t>蒸压加气混凝土砌块</w:t>
            </w:r>
            <w:r w:rsidRPr="00497C28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2021.11.04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查见合同评审表，合同经过评审后双方签字盖章。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再抽其他办公家具</w:t>
            </w:r>
            <w:r w:rsidRPr="00B32B4C">
              <w:rPr>
                <w:sz w:val="24"/>
                <w:szCs w:val="24"/>
              </w:rPr>
              <w:t>产品的订</w:t>
            </w:r>
            <w:r w:rsidR="007D63FA">
              <w:rPr>
                <w:sz w:val="24"/>
                <w:szCs w:val="24"/>
              </w:rPr>
              <w:t>购销合同</w:t>
            </w:r>
            <w:r w:rsidRPr="00B32B4C">
              <w:rPr>
                <w:sz w:val="24"/>
                <w:szCs w:val="24"/>
              </w:rPr>
              <w:t>，经合同评审后签订。以上评审均在签订正式合同之前进行。</w:t>
            </w:r>
          </w:p>
          <w:p w:rsidR="00B32B4C" w:rsidRPr="00B32B4C" w:rsidRDefault="00875896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销售部</w:t>
            </w:r>
            <w:r w:rsidR="00B32B4C" w:rsidRPr="00B32B4C">
              <w:rPr>
                <w:sz w:val="24"/>
                <w:szCs w:val="24"/>
              </w:rPr>
              <w:t>负责人介绍：目前尚未发生合同更改的情况，询问对更改情况的控制较为明确清</w:t>
            </w:r>
            <w:r w:rsidR="00B32B4C" w:rsidRPr="00B32B4C">
              <w:rPr>
                <w:sz w:val="24"/>
                <w:szCs w:val="24"/>
              </w:rPr>
              <w:lastRenderedPageBreak/>
              <w:t>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交付后活动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介绍说，所有产品</w:t>
            </w:r>
            <w:r w:rsidR="007D63FA">
              <w:rPr>
                <w:rFonts w:hint="eastAsia"/>
                <w:sz w:val="24"/>
                <w:szCs w:val="24"/>
              </w:rPr>
              <w:t>有客户联系物流进行转运，公司按指定单要求进行备货，同客户沟通出货事宜</w:t>
            </w:r>
            <w:r w:rsidRPr="00B32B4C">
              <w:rPr>
                <w:rFonts w:hint="eastAsia"/>
                <w:sz w:val="24"/>
                <w:szCs w:val="24"/>
              </w:rPr>
              <w:t>，客户验收后进行确认，并支付货款；在约定的质保期内提供免费的维护；质保期后提供有偿服务。</w:t>
            </w:r>
            <w:r w:rsidRPr="00B32B4C">
              <w:rPr>
                <w:rFonts w:eastAsiaTheme="minorEastAsia" w:hAnsiTheme="minorEastAsia"/>
                <w:color w:val="000000"/>
                <w:sz w:val="24"/>
                <w:szCs w:val="24"/>
              </w:rPr>
              <w:t>客户在使用过程中出现问题，先通过电话进行解决，如远程无法解决，派专人到客户现场实地协调解决。</w:t>
            </w:r>
          </w:p>
          <w:p w:rsidR="00DB3492" w:rsidRDefault="00DB3492" w:rsidP="00B32B4C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交付后主要是通过对客户人员提供产品质量数据，注意事项培训</w:t>
            </w:r>
            <w:r w:rsidR="00B32B4C" w:rsidRPr="00B32B4C">
              <w:rPr>
                <w:rFonts w:eastAsiaTheme="minorEastAsia" w:hint="eastAsia"/>
                <w:color w:val="000000"/>
                <w:sz w:val="24"/>
                <w:szCs w:val="24"/>
              </w:rPr>
              <w:t>，同时跟踪项目进度、顾客回访、顾客反馈、顾客满意度调查等形式进行。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B32B4C">
              <w:rPr>
                <w:rFonts w:eastAsiaTheme="minorEastAsia" w:hint="eastAsia"/>
                <w:color w:val="000000"/>
                <w:sz w:val="24"/>
                <w:szCs w:val="24"/>
              </w:rPr>
              <w:t>体系运行至今无顾客不良反馈。</w:t>
            </w:r>
          </w:p>
          <w:p w:rsidR="00B32B4C" w:rsidRPr="00B32B4C" w:rsidRDefault="00B32B4C" w:rsidP="00B32B4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hint="eastAsia"/>
                <w:sz w:val="24"/>
                <w:szCs w:val="24"/>
              </w:rPr>
              <w:t>基本符合。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8.5.3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32B4C" w:rsidTr="003342B4">
        <w:trPr>
          <w:trHeight w:val="1256"/>
        </w:trPr>
        <w:tc>
          <w:tcPr>
            <w:tcW w:w="2160" w:type="dxa"/>
            <w:vAlign w:val="center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客户满意</w:t>
            </w:r>
          </w:p>
        </w:tc>
        <w:tc>
          <w:tcPr>
            <w:tcW w:w="1209" w:type="dxa"/>
          </w:tcPr>
          <w:p w:rsidR="00B32B4C" w:rsidRPr="00B32B4C" w:rsidRDefault="00B32B4C" w:rsidP="00832E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2B4C">
                <w:rPr>
                  <w:rFonts w:eastAsiaTheme="minorEastAsia"/>
                  <w:sz w:val="24"/>
                  <w:szCs w:val="24"/>
                </w:rPr>
                <w:t>9.1.2</w:t>
              </w:r>
            </w:smartTag>
          </w:p>
        </w:tc>
        <w:tc>
          <w:tcPr>
            <w:tcW w:w="9755" w:type="dxa"/>
          </w:tcPr>
          <w:p w:rsidR="00B32B4C" w:rsidRPr="00B32B4C" w:rsidRDefault="00B32B4C" w:rsidP="00B32B4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公司编制《</w:t>
            </w:r>
            <w:r w:rsidR="00DB3492">
              <w:rPr>
                <w:rFonts w:eastAsiaTheme="minorEastAsia" w:hAnsiTheme="minorEastAsia"/>
                <w:sz w:val="24"/>
                <w:szCs w:val="24"/>
              </w:rPr>
              <w:t>客户满意度调查管控流程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》，通过拜访、电话、电邮、问卷等形式，收集顾客反馈信息，监视顾客满意程度，评价体系的有效性，寻求体系改进的机会。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lastRenderedPageBreak/>
              <w:t>提供了对</w:t>
            </w:r>
            <w:r w:rsidR="00F3003D">
              <w:rPr>
                <w:rFonts w:eastAsiaTheme="minorEastAsia" w:hint="eastAsia"/>
                <w:sz w:val="24"/>
                <w:szCs w:val="24"/>
              </w:rPr>
              <w:t>21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家顾客的《顾客满意度调查记录表》，</w:t>
            </w:r>
            <w:r w:rsidR="00F3003D">
              <w:rPr>
                <w:rFonts w:eastAsiaTheme="minorEastAsia" w:hAnsiTheme="minorEastAsia"/>
                <w:sz w:val="24"/>
                <w:szCs w:val="24"/>
              </w:rPr>
              <w:t>问卷回收率</w:t>
            </w:r>
            <w:r w:rsidR="00F3003D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F3003D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调查包含：</w:t>
            </w:r>
            <w:r w:rsidR="00F3003D">
              <w:rPr>
                <w:rFonts w:eastAsiaTheme="minorEastAsia" w:hAnsiTheme="minorEastAsia"/>
                <w:sz w:val="24"/>
                <w:szCs w:val="24"/>
              </w:rPr>
              <w:t>产品和服务内容的符合性、服务进度计划执行情况、业务水平、服务响应速度、产品和服务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质量、等指标，满意程度分为</w:t>
            </w:r>
            <w:r w:rsidR="00F3003D">
              <w:rPr>
                <w:rFonts w:eastAsiaTheme="minorEastAsia" w:hAnsiTheme="minorEastAsia"/>
                <w:sz w:val="24"/>
                <w:szCs w:val="24"/>
              </w:rPr>
              <w:t>非常满意、满意、基本满意、不满意</w:t>
            </w:r>
            <w:r w:rsidRPr="00B32B4C">
              <w:rPr>
                <w:rFonts w:eastAsiaTheme="minorEastAsia"/>
                <w:sz w:val="24"/>
                <w:szCs w:val="24"/>
              </w:rPr>
              <w:t>---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不满意等四个档次。从提供的调查表来看，客户对组织评价均为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很满意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B32B4C">
              <w:rPr>
                <w:rFonts w:eastAsiaTheme="minorEastAsia"/>
                <w:sz w:val="24"/>
                <w:szCs w:val="24"/>
              </w:rPr>
              <w:t>“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满意</w:t>
            </w:r>
            <w:r w:rsidRPr="00B32B4C">
              <w:rPr>
                <w:rFonts w:eastAsiaTheme="minorEastAsia"/>
                <w:sz w:val="24"/>
                <w:szCs w:val="24"/>
              </w:rPr>
              <w:t>”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查见</w:t>
            </w:r>
            <w:r w:rsidRPr="00B32B4C">
              <w:rPr>
                <w:rFonts w:eastAsiaTheme="minorEastAsia"/>
                <w:sz w:val="24"/>
                <w:szCs w:val="24"/>
              </w:rPr>
              <w:t>20</w:t>
            </w:r>
            <w:r w:rsidRPr="00B32B4C">
              <w:rPr>
                <w:rFonts w:eastAsiaTheme="minorEastAsia" w:hint="eastAsia"/>
                <w:sz w:val="24"/>
                <w:szCs w:val="24"/>
              </w:rPr>
              <w:t>21</w:t>
            </w:r>
            <w:r w:rsidRPr="00B32B4C">
              <w:rPr>
                <w:rFonts w:eastAsiaTheme="minorEastAsia"/>
                <w:sz w:val="24"/>
                <w:szCs w:val="24"/>
              </w:rPr>
              <w:t>.</w:t>
            </w:r>
            <w:r w:rsidR="00F3003D">
              <w:rPr>
                <w:rFonts w:eastAsiaTheme="minorEastAsia" w:hint="eastAsia"/>
                <w:sz w:val="24"/>
                <w:szCs w:val="24"/>
              </w:rPr>
              <w:t>8</w:t>
            </w:r>
            <w:r w:rsidR="00F3003D">
              <w:rPr>
                <w:rFonts w:eastAsiaTheme="minorEastAsia" w:hint="eastAsia"/>
                <w:sz w:val="24"/>
                <w:szCs w:val="24"/>
              </w:rPr>
              <w:t>月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的《顾客满意度调查分析》，对顾客满意度指标完成情况、顾客建议改进方向等予以分析汇总，经评价测算客户满意度得分</w:t>
            </w:r>
            <w:r w:rsidR="00DB3492">
              <w:rPr>
                <w:rFonts w:eastAsiaTheme="minorEastAsia" w:hint="eastAsia"/>
                <w:sz w:val="24"/>
                <w:szCs w:val="24"/>
              </w:rPr>
              <w:t>9</w:t>
            </w:r>
            <w:r w:rsidR="00F3003D">
              <w:rPr>
                <w:rFonts w:eastAsiaTheme="minorEastAsia" w:hint="eastAsia"/>
                <w:sz w:val="24"/>
                <w:szCs w:val="24"/>
              </w:rPr>
              <w:t>8.45</w:t>
            </w:r>
            <w:r w:rsidR="00B97E80">
              <w:rPr>
                <w:rFonts w:eastAsiaTheme="minorEastAsia" w:hint="eastAsia"/>
                <w:sz w:val="24"/>
                <w:szCs w:val="24"/>
              </w:rPr>
              <w:t>分</w:t>
            </w:r>
            <w:r w:rsidRPr="00B32B4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B32B4C" w:rsidRPr="00B32B4C" w:rsidRDefault="00B32B4C" w:rsidP="00832E5F">
            <w:pPr>
              <w:rPr>
                <w:sz w:val="24"/>
                <w:szCs w:val="24"/>
              </w:rPr>
            </w:pPr>
            <w:r w:rsidRPr="00B32B4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Default="00B32B4C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危险源</w:t>
            </w: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6229C9" w:rsidRPr="00194789" w:rsidRDefault="006229C9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09" w:type="dxa"/>
          </w:tcPr>
          <w:p w:rsidR="00FD5E6E" w:rsidRDefault="0002467A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6.1.2</w:t>
            </w: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Default="006229C9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B32B4C" w:rsidRDefault="00B32B4C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6229C9" w:rsidRPr="00194789" w:rsidRDefault="00952F5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5452A1">
              <w:rPr>
                <w:rFonts w:eastAsiaTheme="minorEastAsia" w:hint="eastAsia"/>
                <w:sz w:val="24"/>
                <w:szCs w:val="24"/>
              </w:rPr>
              <w:t>O</w:t>
            </w:r>
            <w:r w:rsidR="006229C9"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9755" w:type="dxa"/>
          </w:tcPr>
          <w:p w:rsidR="00952F5E" w:rsidRPr="000A42CF" w:rsidRDefault="00A068ED" w:rsidP="00A068E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A068ED">
              <w:rPr>
                <w:rFonts w:hAnsi="宋体" w:hint="eastAsia"/>
                <w:sz w:val="24"/>
                <w:szCs w:val="24"/>
              </w:rPr>
              <w:t>提供了《环境因素识别、评价与更新控制程序》，《危险源辨识与风险评价及措施控制程序</w:t>
            </w:r>
            <w:r>
              <w:rPr>
                <w:rFonts w:hAnsi="宋体" w:hint="eastAsia"/>
                <w:sz w:val="24"/>
                <w:szCs w:val="24"/>
              </w:rPr>
              <w:t>》，《环境运行控制程序》《职业健康安全运行控制程序》，有效文件</w:t>
            </w:r>
            <w:r w:rsidR="00952F5E" w:rsidRPr="000A42CF">
              <w:rPr>
                <w:rFonts w:hAnsi="宋体"/>
                <w:sz w:val="24"/>
                <w:szCs w:val="24"/>
              </w:rPr>
              <w:t>。</w:t>
            </w:r>
          </w:p>
          <w:p w:rsidR="00952F5E" w:rsidRPr="000A42CF" w:rsidRDefault="00952F5E" w:rsidP="00952F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A42CF">
              <w:rPr>
                <w:rFonts w:hAnsi="宋体"/>
                <w:sz w:val="24"/>
                <w:szCs w:val="24"/>
              </w:rPr>
              <w:t>查</w:t>
            </w:r>
            <w:r w:rsidRPr="000A42CF">
              <w:rPr>
                <w:sz w:val="24"/>
                <w:szCs w:val="24"/>
              </w:rPr>
              <w:t>“</w:t>
            </w:r>
            <w:r w:rsidRPr="000A42CF">
              <w:rPr>
                <w:rFonts w:hAnsi="宋体"/>
                <w:sz w:val="24"/>
                <w:szCs w:val="24"/>
              </w:rPr>
              <w:t>环境因素辨识和评价表</w:t>
            </w:r>
            <w:r w:rsidRPr="000A42CF">
              <w:rPr>
                <w:sz w:val="24"/>
                <w:szCs w:val="24"/>
              </w:rPr>
              <w:t>”</w:t>
            </w:r>
            <w:r w:rsidRPr="000A42CF">
              <w:rPr>
                <w:rFonts w:hAnsi="宋体"/>
                <w:sz w:val="24"/>
                <w:szCs w:val="24"/>
              </w:rPr>
              <w:t>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 w:rsidR="00952F5E" w:rsidRPr="000A42CF" w:rsidRDefault="00952F5E" w:rsidP="00952F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0A42CF">
              <w:rPr>
                <w:rFonts w:hAnsi="宋体"/>
                <w:sz w:val="24"/>
                <w:szCs w:val="24"/>
              </w:rPr>
              <w:t>采取打分法评价，查到</w:t>
            </w:r>
            <w:r w:rsidRPr="000A42CF">
              <w:rPr>
                <w:sz w:val="24"/>
                <w:szCs w:val="24"/>
              </w:rPr>
              <w:t>“</w:t>
            </w:r>
            <w:r w:rsidRPr="000A42CF">
              <w:rPr>
                <w:rFonts w:hAnsi="宋体"/>
                <w:sz w:val="24"/>
                <w:szCs w:val="24"/>
              </w:rPr>
              <w:t>重要环境因素清单</w:t>
            </w:r>
            <w:r w:rsidRPr="000A42CF">
              <w:rPr>
                <w:sz w:val="24"/>
                <w:szCs w:val="24"/>
              </w:rPr>
              <w:t>”</w:t>
            </w:r>
            <w:r w:rsidRPr="000A42CF">
              <w:rPr>
                <w:rFonts w:hAnsi="宋体"/>
                <w:sz w:val="24"/>
                <w:szCs w:val="24"/>
              </w:rPr>
              <w:t>，经评价销售部重要环境因素</w:t>
            </w:r>
            <w:r>
              <w:rPr>
                <w:rFonts w:hAnsi="宋体"/>
                <w:sz w:val="24"/>
                <w:szCs w:val="24"/>
              </w:rPr>
              <w:t>为潜在火灾和固废排放</w:t>
            </w:r>
            <w:r w:rsidRPr="000A42CF">
              <w:rPr>
                <w:rFonts w:hAnsi="宋体"/>
                <w:sz w:val="24"/>
                <w:szCs w:val="24"/>
              </w:rPr>
              <w:t>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875896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的“危险源识别及风险评价表”，识别了办公电线破损裸露、电器漏电触电、电脑显示屏的辐射、电器超负荷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、交通意外伤害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等危险源。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查《不可接受风险清单》，涉及本部门的有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个不可接受风险，包括：潜在火灾、触电事故发生。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控制措施：执行管理方案、配备消防器材、个体防护、日常检查、培训教育、应急预案等运行控制措施。制订了“目标与管理方案及实施情况一览表”，明确了控制措施、时间要求、责任部门、责任人等。</w:t>
            </w:r>
          </w:p>
          <w:p w:rsidR="00FD5E6E" w:rsidRPr="00194789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952F5E">
        <w:trPr>
          <w:trHeight w:val="431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952F5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8432E7" w:rsidRDefault="00036062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6229C9" w:rsidRDefault="006229C9" w:rsidP="006229C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72E5E" w:rsidRP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公司目前销售的产品是</w:t>
            </w:r>
            <w:r w:rsidR="00C847AC" w:rsidRPr="00C847AC">
              <w:rPr>
                <w:rFonts w:eastAsiaTheme="minorEastAsia" w:hAnsiTheme="minorEastAsia" w:hint="eastAsia"/>
                <w:sz w:val="24"/>
                <w:szCs w:val="24"/>
              </w:rPr>
              <w:t>蒸压加气混凝土板、蒸压加气混凝土砌块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办公过程，不产生废气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5.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A72E5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现场查看</w:t>
            </w:r>
            <w:r w:rsidR="00875896"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Pr="00A72E5E">
              <w:rPr>
                <w:rFonts w:eastAsiaTheme="minorEastAsia" w:hAnsiTheme="minorEastAsia" w:hint="eastAsia"/>
                <w:sz w:val="24"/>
                <w:szCs w:val="24"/>
              </w:rPr>
              <w:t>办公室有垃圾桶，有禁止吸烟标识，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</w:p>
          <w:p w:rsidR="00A72E5E" w:rsidRDefault="00875896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销售部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行政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人事部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 w:rsidR="00F51309"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  <w:r w:rsidR="00A72E5E" w:rsidRPr="00A72E5E">
              <w:rPr>
                <w:rFonts w:eastAsiaTheme="minorEastAsia" w:hAnsiTheme="minorEastAsia" w:hint="eastAsia"/>
                <w:sz w:val="24"/>
                <w:szCs w:val="24"/>
              </w:rPr>
              <w:t>部门不单独处理。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3B06AE" w:rsidRPr="003B06AE" w:rsidRDefault="00C847AC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原材料及成品仓库，按物料种类分类摆放，查看现场物料排放整齐，物料标识清晰；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现场查看办公区域和仓库区域配备了灭火器等消防设施，状况正常</w:t>
            </w:r>
          </w:p>
          <w:p w:rsidR="003B06AE" w:rsidRPr="003B06AE" w:rsidRDefault="00C847AC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</w:t>
            </w:r>
            <w:r w:rsidR="008F1EA4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="003B06AE" w:rsidRPr="003B06AE">
              <w:rPr>
                <w:rFonts w:eastAsiaTheme="minorEastAsia" w:hAnsiTheme="minorEastAsia" w:hint="eastAsia"/>
                <w:sz w:val="24"/>
                <w:szCs w:val="24"/>
              </w:rPr>
              <w:t>，采用〈告知函〉方式通报。查到相关方告知书。</w:t>
            </w:r>
          </w:p>
          <w:p w:rsidR="003B06AE" w:rsidRPr="003B06AE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在产品运输时，要求司机必须有驾驶证，车辆需经年检合格，车况良好，禁止疲劳驾驶，控制车速，避免扬尘。</w:t>
            </w:r>
          </w:p>
          <w:p w:rsidR="00FD5E6E" w:rsidRP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lastRenderedPageBreak/>
              <w:t>驾驶，控制车速。</w:t>
            </w:r>
          </w:p>
          <w:p w:rsidR="00FD5E6E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FD5E6E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F51309" w:rsidRDefault="00A72E5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办公室内主要是电的使用，电器有漏电保护器，经常对电路、电源进行检查，没有露电现象发生，查见有消除安全检查记录，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---202</w:t>
            </w:r>
            <w:r w:rsidR="006229C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月份检查结果正常。</w:t>
            </w:r>
          </w:p>
          <w:p w:rsidR="00F51309" w:rsidRPr="00F51309" w:rsidRDefault="003B06AE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0C0CF5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现场运行控制：</w:t>
            </w:r>
          </w:p>
          <w:p w:rsidR="00F51309" w:rsidRPr="00F51309" w:rsidRDefault="00F51309" w:rsidP="00A72E5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3B06AE" w:rsidP="003B06A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3B06AE">
              <w:rPr>
                <w:rFonts w:eastAsiaTheme="minorEastAsia" w:hAnsiTheme="minorEastAsia" w:hint="eastAsia"/>
                <w:sz w:val="24"/>
                <w:szCs w:val="24"/>
              </w:rPr>
              <w:t>部门运行控制能结合产品生命周期方法，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基本符合策划要求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948B9" w:rsidRDefault="009948B9"/>
          <w:p w:rsidR="008432E7" w:rsidRDefault="00FD5E6E">
            <w:r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6229C9">
        <w:trPr>
          <w:trHeight w:val="547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952F5E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B32B4C">
              <w:rPr>
                <w:rFonts w:eastAsiaTheme="minorEastAsia"/>
                <w:sz w:val="24"/>
                <w:szCs w:val="24"/>
              </w:rPr>
              <w:t>O</w:t>
            </w:r>
            <w:r w:rsidR="00F02CD1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编制了《应急准备和响应控制程序》，确定的紧急情况有：火灾、触电等。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应急设施配置：在销售部区域内均配备了灭火器等消防设施，均在有效期内，状态良好。</w:t>
            </w:r>
          </w:p>
          <w:p w:rsidR="00B32B4C" w:rsidRPr="00B32B4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销售部有参加公司组织的《火灾应急预案演练》等，见</w:t>
            </w:r>
            <w:r w:rsidR="00C847AC">
              <w:rPr>
                <w:rFonts w:eastAsiaTheme="minorEastAsia" w:hAnsiTheme="minorEastAsia" w:hint="eastAsia"/>
                <w:sz w:val="24"/>
                <w:szCs w:val="24"/>
              </w:rPr>
              <w:t>行政人事部</w:t>
            </w: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审核记录。</w:t>
            </w:r>
          </w:p>
          <w:p w:rsidR="00F02CD1" w:rsidRPr="00DF525C" w:rsidRDefault="00B32B4C" w:rsidP="00B32B4C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B32B4C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FE" w:rsidRDefault="00442EFE" w:rsidP="008432E7">
      <w:r>
        <w:separator/>
      </w:r>
    </w:p>
  </w:endnote>
  <w:endnote w:type="continuationSeparator" w:id="1">
    <w:p w:rsidR="00442EFE" w:rsidRDefault="00442EFE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8D58C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8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482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FE" w:rsidRDefault="00442EFE" w:rsidP="008432E7">
      <w:r>
        <w:separator/>
      </w:r>
    </w:p>
  </w:footnote>
  <w:footnote w:type="continuationSeparator" w:id="1">
    <w:p w:rsidR="00442EFE" w:rsidRDefault="00442EFE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8CD" w:rsidRPr="008D58C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467A"/>
    <w:rsid w:val="00030C19"/>
    <w:rsid w:val="00036062"/>
    <w:rsid w:val="00042367"/>
    <w:rsid w:val="000607A0"/>
    <w:rsid w:val="00066763"/>
    <w:rsid w:val="000806D0"/>
    <w:rsid w:val="00092533"/>
    <w:rsid w:val="000C0CF5"/>
    <w:rsid w:val="000D5E0A"/>
    <w:rsid w:val="001136C9"/>
    <w:rsid w:val="001B65B6"/>
    <w:rsid w:val="00204828"/>
    <w:rsid w:val="00207B72"/>
    <w:rsid w:val="00272E91"/>
    <w:rsid w:val="002C4576"/>
    <w:rsid w:val="002C7BD3"/>
    <w:rsid w:val="002E15EA"/>
    <w:rsid w:val="002F18B9"/>
    <w:rsid w:val="003048B7"/>
    <w:rsid w:val="003342B4"/>
    <w:rsid w:val="00337CC9"/>
    <w:rsid w:val="00343D5F"/>
    <w:rsid w:val="003B06AE"/>
    <w:rsid w:val="003C4F12"/>
    <w:rsid w:val="00410891"/>
    <w:rsid w:val="00441AB2"/>
    <w:rsid w:val="00442EFE"/>
    <w:rsid w:val="00462188"/>
    <w:rsid w:val="0046592B"/>
    <w:rsid w:val="00497C28"/>
    <w:rsid w:val="00505341"/>
    <w:rsid w:val="0051623F"/>
    <w:rsid w:val="005452A1"/>
    <w:rsid w:val="00572FAE"/>
    <w:rsid w:val="005A6AF6"/>
    <w:rsid w:val="005F10A4"/>
    <w:rsid w:val="006229C9"/>
    <w:rsid w:val="006531B6"/>
    <w:rsid w:val="00681634"/>
    <w:rsid w:val="00693044"/>
    <w:rsid w:val="006F653C"/>
    <w:rsid w:val="00727410"/>
    <w:rsid w:val="007400B0"/>
    <w:rsid w:val="00747E87"/>
    <w:rsid w:val="00753452"/>
    <w:rsid w:val="00774E8D"/>
    <w:rsid w:val="00794121"/>
    <w:rsid w:val="007D63FA"/>
    <w:rsid w:val="007E0A88"/>
    <w:rsid w:val="00816586"/>
    <w:rsid w:val="008432E7"/>
    <w:rsid w:val="00871F49"/>
    <w:rsid w:val="00875896"/>
    <w:rsid w:val="008D58CD"/>
    <w:rsid w:val="008F1EA4"/>
    <w:rsid w:val="00915139"/>
    <w:rsid w:val="0092012B"/>
    <w:rsid w:val="0094707E"/>
    <w:rsid w:val="00952F5E"/>
    <w:rsid w:val="009539F1"/>
    <w:rsid w:val="0096202E"/>
    <w:rsid w:val="00972202"/>
    <w:rsid w:val="00984A91"/>
    <w:rsid w:val="009948B9"/>
    <w:rsid w:val="009C5978"/>
    <w:rsid w:val="009D0AFC"/>
    <w:rsid w:val="00A068ED"/>
    <w:rsid w:val="00A074DB"/>
    <w:rsid w:val="00A31C94"/>
    <w:rsid w:val="00A405AC"/>
    <w:rsid w:val="00A72E5E"/>
    <w:rsid w:val="00AC5EEA"/>
    <w:rsid w:val="00AC7333"/>
    <w:rsid w:val="00AD342E"/>
    <w:rsid w:val="00AD6302"/>
    <w:rsid w:val="00AE34EE"/>
    <w:rsid w:val="00AF7C33"/>
    <w:rsid w:val="00B13E94"/>
    <w:rsid w:val="00B32B4C"/>
    <w:rsid w:val="00B626E7"/>
    <w:rsid w:val="00B84845"/>
    <w:rsid w:val="00B97E80"/>
    <w:rsid w:val="00BA7754"/>
    <w:rsid w:val="00BB3886"/>
    <w:rsid w:val="00BD1EB8"/>
    <w:rsid w:val="00BF18A5"/>
    <w:rsid w:val="00C4682D"/>
    <w:rsid w:val="00C47C5D"/>
    <w:rsid w:val="00C532FF"/>
    <w:rsid w:val="00C82073"/>
    <w:rsid w:val="00C847AC"/>
    <w:rsid w:val="00CA5522"/>
    <w:rsid w:val="00CB245B"/>
    <w:rsid w:val="00CC129D"/>
    <w:rsid w:val="00CE00B4"/>
    <w:rsid w:val="00DB3492"/>
    <w:rsid w:val="00E162D3"/>
    <w:rsid w:val="00E33843"/>
    <w:rsid w:val="00E50AF9"/>
    <w:rsid w:val="00E93115"/>
    <w:rsid w:val="00F01F55"/>
    <w:rsid w:val="00F0211B"/>
    <w:rsid w:val="00F02CD1"/>
    <w:rsid w:val="00F13E3B"/>
    <w:rsid w:val="00F3003D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528</Words>
  <Characters>3015</Characters>
  <Application>Microsoft Office Word</Application>
  <DocSecurity>0</DocSecurity>
  <Lines>25</Lines>
  <Paragraphs>7</Paragraphs>
  <ScaleCrop>false</ScaleCrop>
  <Company>china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55</cp:revision>
  <dcterms:created xsi:type="dcterms:W3CDTF">2015-06-17T12:51:00Z</dcterms:created>
  <dcterms:modified xsi:type="dcterms:W3CDTF">2022-01-07T03:18:00Z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