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0642-2020-Q-2022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南通森业道路设施有限公司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南通森业道路设施有限公司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南通市开发区竹行镇东方大道336号</w:t>
            </w:r>
            <w:bookmarkEnd w:id="6"/>
          </w:p>
        </w:tc>
        <w:tc>
          <w:tcPr>
            <w:tcW w:w="1242" w:type="dxa"/>
            <w:vMerge w:val="restart"/>
            <w:vAlign w:val="center"/>
          </w:tcPr>
          <w:p>
            <w:r>
              <w:rPr>
                <w:rFonts w:hint="eastAsia"/>
              </w:rPr>
              <w:t>邮编</w:t>
            </w:r>
          </w:p>
        </w:tc>
        <w:tc>
          <w:tcPr>
            <w:tcW w:w="1771" w:type="dxa"/>
          </w:tcPr>
          <w:p>
            <w:bookmarkStart w:id="7" w:name="注册邮编"/>
            <w:r>
              <w:t>226000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南通开发区庙桥村</w:t>
            </w:r>
            <w:bookmarkEnd w:id="8"/>
          </w:p>
        </w:tc>
        <w:tc>
          <w:tcPr>
            <w:tcW w:w="1242" w:type="dxa"/>
            <w:vMerge w:val="continue"/>
            <w:vAlign w:val="center"/>
          </w:tcPr>
          <w:p/>
        </w:tc>
        <w:tc>
          <w:tcPr>
            <w:tcW w:w="1771" w:type="dxa"/>
          </w:tcPr>
          <w:p>
            <w:bookmarkStart w:id="9" w:name="办公邮编"/>
            <w:r>
              <w:t>226000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范成意</w:t>
            </w:r>
            <w:bookmarkEnd w:id="10"/>
          </w:p>
        </w:tc>
        <w:tc>
          <w:tcPr>
            <w:tcW w:w="1313" w:type="dxa"/>
            <w:vAlign w:val="center"/>
          </w:tcPr>
          <w:p>
            <w:r>
              <w:rPr>
                <w:rFonts w:hint="eastAsia"/>
              </w:rPr>
              <w:t>电话.</w:t>
            </w:r>
          </w:p>
        </w:tc>
        <w:tc>
          <w:tcPr>
            <w:tcW w:w="2180" w:type="dxa"/>
            <w:vAlign w:val="center"/>
          </w:tcPr>
          <w:p>
            <w:bookmarkStart w:id="11" w:name="联系人电话"/>
            <w:r>
              <w:t>0513-89073304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胡金亮</w:t>
            </w:r>
            <w:bookmarkEnd w:id="13"/>
          </w:p>
        </w:tc>
        <w:tc>
          <w:tcPr>
            <w:tcW w:w="1313" w:type="dxa"/>
            <w:vAlign w:val="center"/>
          </w:tcPr>
          <w:p>
            <w:r>
              <w:rPr>
                <w:rFonts w:hint="eastAsia"/>
              </w:rPr>
              <w:t>管理者代表</w:t>
            </w:r>
          </w:p>
        </w:tc>
        <w:tc>
          <w:tcPr>
            <w:tcW w:w="2180" w:type="dxa"/>
          </w:tcPr>
          <w:p>
            <w:bookmarkStart w:id="14" w:name="管理者代表"/>
            <w:r>
              <w:t>范成意</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配砂—造型—制芯—配料填炉—熔化—调质—浇注—落砂除芯—割冒口浇口—加工—检验检测—入库—</w:t>
            </w:r>
            <w:r>
              <w:rPr>
                <w:rFonts w:hint="eastAsia"/>
                <w:lang w:val="en-US" w:eastAsia="zh-CN"/>
              </w:rPr>
              <w:t>出货</w:t>
            </w:r>
            <w:r>
              <w:rPr>
                <w:rFonts w:hint="eastAsia"/>
              </w:rPr>
              <w:t>—</w:t>
            </w:r>
            <w:r>
              <w:rPr>
                <w:rFonts w:hint="eastAsia"/>
                <w:lang w:val="en-US" w:eastAsia="zh-CN"/>
              </w:rPr>
              <w:t>交付验收</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2022年12月18日 上午至2022年12月18日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南通开发区庙桥村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球墨铸铁井盖的加工及销售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17.05.01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A3"/>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lang w:val="en-US" w:eastAsia="zh-CN"/>
              </w:rPr>
              <w:t>2020</w:t>
            </w:r>
            <w:r>
              <w:rPr>
                <w:rFonts w:hint="eastAsia"/>
              </w:rPr>
              <w:t>年</w:t>
            </w:r>
            <w:r>
              <w:rPr>
                <w:rFonts w:hint="eastAsia"/>
                <w:lang w:val="en-US" w:eastAsia="zh-CN"/>
              </w:rPr>
              <w:t>7</w:t>
            </w:r>
            <w:r>
              <w:rPr>
                <w:rFonts w:hint="eastAsia"/>
              </w:rPr>
              <w:t>月</w:t>
            </w:r>
            <w:r>
              <w:rPr>
                <w:rFonts w:hint="eastAsia"/>
                <w:lang w:val="en-US" w:eastAsia="zh-CN"/>
              </w:rPr>
              <w:t>18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2021年08月14日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11</w:t>
            </w:r>
            <w:r>
              <w:rPr>
                <w:rFonts w:hint="eastAsia"/>
              </w:rPr>
              <w:t>月</w:t>
            </w:r>
            <w:r>
              <w:rPr>
                <w:rFonts w:hint="eastAsia"/>
                <w:lang w:val="en-US" w:eastAsia="zh-CN"/>
              </w:rPr>
              <w:t>13</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rPr>
                <w:rFonts w:hint="eastAsia"/>
              </w:rPr>
              <w:t>南通森业道路设施有限公司</w:t>
            </w:r>
            <w:r>
              <w:rPr>
                <w:rFonts w:hint="eastAsia"/>
                <w:lang w:val="en-US" w:eastAsia="zh-CN"/>
              </w:rPr>
              <w:t>/</w:t>
            </w:r>
            <w:r>
              <w:t>南通市开发区竹行镇东方大道336号</w:t>
            </w:r>
          </w:p>
        </w:tc>
        <w:tc>
          <w:tcPr>
            <w:tcW w:w="2267" w:type="dxa"/>
            <w:vAlign w:val="top"/>
          </w:tcPr>
          <w:p>
            <w:pPr>
              <w:rPr>
                <w:lang w:val="de-DE" w:eastAsia="ja-JP"/>
              </w:rPr>
            </w:pPr>
            <w:r>
              <w:t>南通市开发区竹行镇东方大道336号</w:t>
            </w:r>
          </w:p>
        </w:tc>
        <w:tc>
          <w:tcPr>
            <w:tcW w:w="571" w:type="dxa"/>
            <w:vAlign w:val="center"/>
          </w:tcPr>
          <w:p>
            <w:pPr>
              <w:rPr>
                <w:lang w:eastAsia="ja-JP"/>
              </w:rPr>
            </w:pPr>
            <w:r>
              <w:rPr>
                <w:rFonts w:hint="eastAsia"/>
                <w:lang w:val="en-US" w:eastAsia="zh-CN"/>
              </w:rPr>
              <w:t>18</w:t>
            </w:r>
          </w:p>
        </w:tc>
        <w:tc>
          <w:tcPr>
            <w:tcW w:w="2803" w:type="dxa"/>
            <w:vAlign w:val="center"/>
          </w:tcPr>
          <w:p>
            <w:pPr>
              <w:rPr>
                <w:lang w:eastAsia="ja-JP"/>
              </w:rPr>
            </w:pPr>
            <w:r>
              <w:rPr>
                <w:rFonts w:hint="eastAsia"/>
                <w:lang w:eastAsia="ja-JP"/>
              </w:rPr>
              <w:t>球墨铸铁井盖的加工及销售</w:t>
            </w:r>
          </w:p>
        </w:tc>
        <w:tc>
          <w:tcPr>
            <w:tcW w:w="669" w:type="dxa"/>
            <w:vAlign w:val="center"/>
          </w:tcPr>
          <w:p>
            <w:pPr>
              <w:rPr>
                <w:lang w:eastAsia="ja-JP"/>
              </w:rPr>
            </w:pPr>
            <w:r>
              <w:rPr>
                <w:rFonts w:hint="eastAsia"/>
                <w:lang w:val="en-US" w:eastAsia="zh-CN"/>
              </w:rPr>
              <w:t>GB/T19001-2016</w:t>
            </w:r>
          </w:p>
        </w:tc>
        <w:tc>
          <w:tcPr>
            <w:tcW w:w="668" w:type="dxa"/>
            <w:shd w:val="clear" w:color="auto" w:fill="FFFFFF"/>
            <w:vAlign w:val="top"/>
          </w:tcPr>
          <w:sdt>
            <w:sdtPr>
              <w:rPr>
                <w:rFonts w:eastAsia="黑体"/>
                <w:b w:val="0"/>
                <w:bCs w:val="0"/>
                <w:szCs w:val="21"/>
              </w:rPr>
              <w:id w:val="271604670"/>
            </w:sdtPr>
            <w:sdtEndPr>
              <w:rPr>
                <w:rFonts w:eastAsia="黑体"/>
                <w:b w:val="0"/>
                <w:bCs w:val="0"/>
                <w:szCs w:val="21"/>
              </w:rPr>
            </w:sdtEndPr>
            <w:sdtContent>
              <w:p>
                <w:pPr>
                  <w:rPr>
                    <w:rFonts w:eastAsia="黑体"/>
                    <w:b w:val="0"/>
                    <w:bCs w:val="0"/>
                    <w:szCs w:val="21"/>
                  </w:rPr>
                </w:pPr>
                <w:r>
                  <w:rPr>
                    <w:rFonts w:hint="eastAsia" w:ascii="宋体" w:hAnsi="宋体"/>
                    <w:b w:val="0"/>
                    <w:bCs w:val="0"/>
                    <w:color w:val="000000"/>
                    <w:spacing w:val="-10"/>
                    <w:szCs w:val="21"/>
                  </w:rPr>
                  <w:sym w:font="Wingdings 2" w:char="0052"/>
                </w:r>
              </w:p>
            </w:sdtContent>
          </w:sdt>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组长</w:t>
            </w:r>
          </w:p>
        </w:tc>
        <w:tc>
          <w:tcPr>
            <w:tcW w:w="711" w:type="dxa"/>
            <w:vAlign w:val="center"/>
          </w:tcPr>
          <w:p>
            <w:r>
              <w:t>女</w:t>
            </w:r>
          </w:p>
        </w:tc>
        <w:tc>
          <w:tcPr>
            <w:tcW w:w="3870" w:type="dxa"/>
            <w:vAlign w:val="center"/>
          </w:tcPr>
          <w:p>
            <w:r>
              <w:t>2022-N1QMS-3210533</w:t>
            </w:r>
          </w:p>
        </w:tc>
        <w:tc>
          <w:tcPr>
            <w:tcW w:w="2179" w:type="dxa"/>
            <w:vAlign w:val="center"/>
          </w:tcPr>
          <w:p>
            <w:r>
              <w:t>17.05.01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孙伟</w:t>
            </w:r>
          </w:p>
        </w:tc>
        <w:tc>
          <w:tcPr>
            <w:tcW w:w="1089" w:type="dxa"/>
            <w:vAlign w:val="center"/>
          </w:tcPr>
          <w:p>
            <w:r>
              <w:t>组员</w:t>
            </w:r>
          </w:p>
        </w:tc>
        <w:tc>
          <w:tcPr>
            <w:tcW w:w="711" w:type="dxa"/>
            <w:vAlign w:val="center"/>
          </w:tcPr>
          <w:p>
            <w:r>
              <w:t>男</w:t>
            </w:r>
          </w:p>
        </w:tc>
        <w:tc>
          <w:tcPr>
            <w:tcW w:w="3870" w:type="dxa"/>
            <w:vAlign w:val="center"/>
          </w:tcPr>
          <w:p>
            <w:r>
              <w:t>2021-N1QMS-2060192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8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shd w:val="clear" w:color="auto" w:fill="D7D7D7" w:themeFill="background1" w:themeFillShade="D8"/>
          </w:tcPr>
          <w:p>
            <w:r>
              <w:rPr>
                <w:rFonts w:hint="eastAsia"/>
              </w:rPr>
              <w:t>审核周期</w:t>
            </w:r>
          </w:p>
        </w:tc>
        <w:tc>
          <w:tcPr>
            <w:tcW w:w="8687"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企业提供的整改材料，经验证措施有效。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00"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0"/>
        <w:gridCol w:w="2764"/>
        <w:gridCol w:w="2764"/>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620" w:type="dxa"/>
            <w:vAlign w:val="center"/>
          </w:tcPr>
          <w:p>
            <w:pPr>
              <w:rPr>
                <w:rFonts w:ascii="宋体"/>
                <w:b/>
                <w:color w:val="0000FF"/>
                <w:szCs w:val="21"/>
              </w:rPr>
            </w:pPr>
            <w:r>
              <w:rPr>
                <w:rFonts w:hint="eastAsia" w:ascii="宋体"/>
                <w:b/>
                <w:color w:val="0000FF"/>
                <w:szCs w:val="21"/>
              </w:rPr>
              <w:t>突发事件的处置措施</w:t>
            </w:r>
          </w:p>
        </w:tc>
        <w:tc>
          <w:tcPr>
            <w:tcW w:w="8480"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620" w:type="dxa"/>
            <w:vMerge w:val="restart"/>
            <w:vAlign w:val="center"/>
          </w:tcPr>
          <w:p>
            <w:pPr>
              <w:rPr>
                <w:rFonts w:ascii="宋体"/>
                <w:b/>
                <w:color w:val="0000FF"/>
                <w:szCs w:val="21"/>
              </w:rPr>
            </w:pPr>
            <w:r>
              <w:rPr>
                <w:rFonts w:hint="eastAsia"/>
                <w:b/>
                <w:bCs/>
                <w:color w:val="0000FF"/>
              </w:rPr>
              <w:t>远程审核的有效性评价（适用时）</w:t>
            </w:r>
          </w:p>
        </w:tc>
        <w:tc>
          <w:tcPr>
            <w:tcW w:w="8480"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620" w:type="dxa"/>
            <w:vMerge w:val="continue"/>
            <w:vAlign w:val="center"/>
          </w:tcPr>
          <w:p>
            <w:pPr>
              <w:rPr>
                <w:rFonts w:ascii="宋体"/>
                <w:b/>
                <w:color w:val="0000FF"/>
                <w:szCs w:val="21"/>
              </w:rPr>
            </w:pPr>
          </w:p>
        </w:tc>
        <w:tc>
          <w:tcPr>
            <w:tcW w:w="8480" w:type="dxa"/>
            <w:gridSpan w:val="3"/>
            <w:tcMar>
              <w:left w:w="113" w:type="dxa"/>
            </w:tcMar>
          </w:tcPr>
          <w:p>
            <w:pPr>
              <w:spacing w:line="280" w:lineRule="exact"/>
              <w:rPr>
                <w:color w:val="0000FF"/>
              </w:rPr>
            </w:pPr>
            <w:r>
              <w:rPr>
                <w:rFonts w:hint="eastAsia" w:ascii="宋体" w:hAnsi="宋体" w:eastAsia="宋体"/>
                <w:b/>
                <w:kern w:val="0"/>
                <w:sz w:val="20"/>
                <w:szCs w:val="20"/>
                <w:lang w:val="en-US" w:eastAsia="zh-CN"/>
              </w:rPr>
              <w:drawing>
                <wp:anchor distT="0" distB="0" distL="114300" distR="114300" simplePos="0" relativeHeight="251662336" behindDoc="0" locked="0" layoutInCell="1" allowOverlap="1">
                  <wp:simplePos x="0" y="0"/>
                  <wp:positionH relativeFrom="column">
                    <wp:posOffset>4198620</wp:posOffset>
                  </wp:positionH>
                  <wp:positionV relativeFrom="paragraph">
                    <wp:posOffset>-165100</wp:posOffset>
                  </wp:positionV>
                  <wp:extent cx="419100" cy="1466850"/>
                  <wp:effectExtent l="0" t="0" r="0" b="0"/>
                  <wp:wrapNone/>
                  <wp:docPr id="2" name="图片 2" descr="3813af8f7f7584f0558f26fbd0519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813af8f7f7584f0558f26fbd0519e5"/>
                          <pic:cNvPicPr>
                            <a:picLocks noChangeAspect="1"/>
                          </pic:cNvPicPr>
                        </pic:nvPicPr>
                        <pic:blipFill>
                          <a:blip r:embed="rId6">
                            <a:clrChange>
                              <a:clrFrom>
                                <a:srgbClr val="BABABA"/>
                              </a:clrFrom>
                              <a:clrTo>
                                <a:srgbClr val="BABABA">
                                  <a:alpha val="0"/>
                                </a:srgbClr>
                              </a:clrTo>
                            </a:clrChange>
                          </a:blip>
                          <a:srcRect l="48984" t="39078" r="40286" b="32748"/>
                          <a:stretch>
                            <a:fillRect/>
                          </a:stretch>
                        </pic:blipFill>
                        <pic:spPr>
                          <a:xfrm rot="-5400000">
                            <a:off x="0" y="0"/>
                            <a:ext cx="419100" cy="1466850"/>
                          </a:xfrm>
                          <a:prstGeom prst="rect">
                            <a:avLst/>
                          </a:prstGeom>
                          <a:noFill/>
                          <a:ln>
                            <a:noFill/>
                          </a:ln>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620" w:type="dxa"/>
          </w:tcPr>
          <w:p>
            <w:r>
              <w:rPr>
                <w:rFonts w:hint="eastAsia"/>
              </w:rPr>
              <w:t>审核组长签字</w:t>
            </w:r>
          </w:p>
        </w:tc>
        <w:tc>
          <w:tcPr>
            <w:tcW w:w="2764" w:type="dxa"/>
            <w:tcMar>
              <w:left w:w="113" w:type="dxa"/>
            </w:tcMar>
          </w:tcPr>
          <w:p>
            <w:r>
              <w:rPr>
                <w:rFonts w:hint="eastAsia" w:ascii="幼圆" w:eastAsia="幼圆"/>
                <w:sz w:val="24"/>
                <w:szCs w:val="24"/>
                <w:lang w:eastAsia="zh-CN"/>
              </w:rPr>
              <w:drawing>
                <wp:anchor distT="0" distB="0" distL="114300" distR="114300" simplePos="0" relativeHeight="251661312" behindDoc="0" locked="0" layoutInCell="1" allowOverlap="1">
                  <wp:simplePos x="0" y="0"/>
                  <wp:positionH relativeFrom="column">
                    <wp:posOffset>-20955</wp:posOffset>
                  </wp:positionH>
                  <wp:positionV relativeFrom="paragraph">
                    <wp:posOffset>7620</wp:posOffset>
                  </wp:positionV>
                  <wp:extent cx="1477010" cy="352425"/>
                  <wp:effectExtent l="0" t="0" r="8890" b="2540"/>
                  <wp:wrapNone/>
                  <wp:docPr id="1" name="图片 3" descr="3944e666c2b5159f4a4ed775f4fe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3944e666c2b5159f4a4ed775f4fe658"/>
                          <pic:cNvPicPr>
                            <a:picLocks noChangeAspect="1"/>
                          </pic:cNvPicPr>
                        </pic:nvPicPr>
                        <pic:blipFill>
                          <a:blip r:embed="rId7">
                            <a:clrChange>
                              <a:clrFrom>
                                <a:srgbClr val="FFFFFF">
                                  <a:alpha val="100000"/>
                                </a:srgbClr>
                              </a:clrFrom>
                              <a:clrTo>
                                <a:srgbClr val="FFFFFF">
                                  <a:alpha val="100000"/>
                                  <a:alpha val="0"/>
                                </a:srgbClr>
                              </a:clrTo>
                            </a:clrChange>
                            <a:lum bright="-18000"/>
                          </a:blip>
                          <a:srcRect b="9460"/>
                          <a:stretch>
                            <a:fillRect/>
                          </a:stretch>
                        </pic:blipFill>
                        <pic:spPr>
                          <a:xfrm>
                            <a:off x="0" y="0"/>
                            <a:ext cx="1477010" cy="35242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952"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shd w:val="clear" w:color="auto" w:fill="C7DAF1" w:themeFill="text2" w:themeFillTint="32"/>
                    <w:ind w:firstLine="1260" w:firstLineChars="600"/>
                  </w:pPr>
                </w:p>
              </w:tc>
              <w:tc>
                <w:tcPr>
                  <w:tcW w:w="7375" w:type="dxa"/>
                  <w:vAlign w:val="top"/>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shd w:val="clear" w:color="auto" w:fill="C7DAF1" w:themeFill="text2" w:themeFillTint="32"/>
                  </w:pPr>
                  <w:r>
                    <w:rPr>
                      <w:rFonts w:hint="eastAsia"/>
                    </w:rPr>
                    <w:t>外部环境</w:t>
                  </w:r>
                </w:p>
              </w:tc>
              <w:tc>
                <w:tcPr>
                  <w:tcW w:w="7375" w:type="dxa"/>
                  <w:vAlign w:val="top"/>
                </w:tcPr>
                <w:p>
                  <w:pPr>
                    <w:shd w:val="clear" w:color="auto" w:fill="C7DAF1"/>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shd w:val="clear" w:color="auto" w:fill="C7DAF1" w:themeFill="text2" w:themeFillTint="32"/>
                  </w:pPr>
                  <w:r>
                    <w:rPr>
                      <w:rFonts w:hint="eastAsia"/>
                    </w:rPr>
                    <w:t>内部环境</w:t>
                  </w:r>
                </w:p>
              </w:tc>
              <w:tc>
                <w:tcPr>
                  <w:tcW w:w="7375" w:type="dxa"/>
                  <w:vAlign w:val="top"/>
                </w:tcPr>
                <w:p>
                  <w:pPr>
                    <w:shd w:val="clear" w:color="auto" w:fill="C7DAF1"/>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r>
                    <w:rPr>
                      <w:rFonts w:hint="eastAsia"/>
                    </w:rPr>
                    <w:sym w:font="Wingdings 2" w:char="00A3"/>
                  </w:r>
                  <w:r>
                    <w:rPr>
                      <w:rFonts w:hint="eastAsia"/>
                    </w:rPr>
                    <w:t>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highlight w:val="cyan"/>
                    </w:rPr>
                  </w:pPr>
                  <w:r>
                    <w:rPr>
                      <w:rFonts w:hint="eastAsia"/>
                    </w:rPr>
                    <w:t>重要的相关方</w:t>
                  </w:r>
                </w:p>
              </w:tc>
              <w:tc>
                <w:tcPr>
                  <w:tcW w:w="6912" w:type="dxa"/>
                  <w:vAlign w:val="top"/>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主管部门</w:t>
                  </w:r>
                </w:p>
              </w:tc>
              <w:tc>
                <w:tcPr>
                  <w:tcW w:w="6912" w:type="dxa"/>
                  <w:vAlign w:val="top"/>
                </w:tcPr>
                <w:p>
                  <w:pPr>
                    <w:shd w:val="clear" w:color="auto" w:fill="C7DAF1" w:themeFill="text2" w:themeFillTint="32"/>
                  </w:pPr>
                  <w:r>
                    <w:rPr>
                      <w:rFonts w:hint="eastAsia"/>
                      <w:color w:val="000000"/>
                    </w:rPr>
                    <w:t>☑</w:t>
                  </w: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供方</w:t>
                  </w:r>
                </w:p>
              </w:tc>
              <w:tc>
                <w:tcPr>
                  <w:tcW w:w="6912" w:type="dxa"/>
                  <w:vAlign w:val="top"/>
                </w:tcPr>
                <w:p>
                  <w:pPr>
                    <w:shd w:val="clear" w:color="auto" w:fill="C7DAF1" w:themeFill="text2" w:themeFillTint="32"/>
                  </w:pPr>
                  <w:r>
                    <w:rPr>
                      <w:rFonts w:hint="eastAsia"/>
                      <w:color w:val="000000"/>
                    </w:rPr>
                    <w:t>☑</w:t>
                  </w: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顾客</w:t>
                  </w:r>
                </w:p>
              </w:tc>
              <w:tc>
                <w:tcPr>
                  <w:tcW w:w="6912" w:type="dxa"/>
                  <w:vAlign w:val="top"/>
                </w:tcPr>
                <w:p>
                  <w:pPr>
                    <w:shd w:val="clear" w:color="auto" w:fill="C7DAF1" w:themeFill="text2" w:themeFillTint="32"/>
                  </w:pPr>
                  <w:r>
                    <w:rPr>
                      <w:rFonts w:hint="eastAsia"/>
                      <w:color w:val="000000"/>
                    </w:rPr>
                    <w:t>☑</w:t>
                  </w: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A3"/>
                  </w:r>
                  <w:r>
                    <w:rPr>
                      <w:rFonts w:hint="eastAsia"/>
                    </w:rPr>
                    <w:t>消费者</w:t>
                  </w:r>
                </w:p>
              </w:tc>
              <w:tc>
                <w:tcPr>
                  <w:tcW w:w="6912" w:type="dxa"/>
                  <w:vAlign w:val="top"/>
                </w:tcPr>
                <w:p>
                  <w:pPr>
                    <w:shd w:val="clear" w:color="auto" w:fill="C7DAF1" w:themeFill="text2" w:themeFillTint="32"/>
                  </w:pPr>
                  <w:r>
                    <w:rPr>
                      <w:rFonts w:hint="eastAsia"/>
                      <w:color w:val="000000"/>
                      <w:lang w:eastAsia="zh-CN"/>
                    </w:rPr>
                    <w:t>□</w:t>
                  </w: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员工</w:t>
                  </w:r>
                </w:p>
              </w:tc>
              <w:tc>
                <w:tcPr>
                  <w:tcW w:w="6912" w:type="dxa"/>
                  <w:vAlign w:val="top"/>
                </w:tcPr>
                <w:p>
                  <w:pPr>
                    <w:shd w:val="clear" w:color="auto" w:fill="C7DAF1" w:themeFill="text2" w:themeFillTint="32"/>
                  </w:pPr>
                  <w:r>
                    <w:rPr>
                      <w:rFonts w:hint="eastAsia"/>
                      <w:color w:val="000000"/>
                    </w:rPr>
                    <w:t>☑</w:t>
                  </w: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A3"/>
                  </w:r>
                  <w:r>
                    <w:rPr>
                      <w:rFonts w:hint="eastAsia"/>
                    </w:rPr>
                    <w:t>投资方</w:t>
                  </w:r>
                </w:p>
              </w:tc>
              <w:tc>
                <w:tcPr>
                  <w:tcW w:w="6912" w:type="dxa"/>
                  <w:vAlign w:val="top"/>
                </w:tcPr>
                <w:p>
                  <w:pPr>
                    <w:shd w:val="clear" w:color="auto" w:fill="C7DAF1" w:themeFill="text2" w:themeFillTint="32"/>
                  </w:pPr>
                  <w:r>
                    <w:rPr>
                      <w:rFonts w:hint="eastAsia"/>
                      <w:color w:val="000000"/>
                      <w:lang w:eastAsia="zh-CN"/>
                    </w:rPr>
                    <w:t>□</w:t>
                  </w: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□其他</w:t>
                  </w:r>
                </w:p>
              </w:tc>
              <w:tc>
                <w:tcPr>
                  <w:tcW w:w="6912" w:type="dxa"/>
                  <w:vAlign w:val="top"/>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最高管理者制定了文件化的管理体系方针：</w:t>
            </w:r>
            <w:r>
              <w:rPr>
                <w:rFonts w:hint="eastAsia"/>
                <w:u w:val="single"/>
              </w:rPr>
              <w:t xml:space="preserve">  品质第一、安全环保；恪守信誉、持续改进    </w:t>
            </w:r>
          </w:p>
          <w:p>
            <w:pPr>
              <w:shd w:val="clear" w:color="auto" w:fill="C7DAF1" w:themeFill="text2" w:themeFillTint="32"/>
              <w:rPr>
                <w:u w:val="single"/>
              </w:rPr>
            </w:pPr>
            <w:r>
              <w:rPr>
                <w:rFonts w:hint="eastAsia"/>
              </w:rPr>
              <w:t xml:space="preserve"> </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sz w:val="18"/>
                <w:szCs w:val="18"/>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rPr>
                    <w:t>客户要求不明确，理解不正确或存在争议</w:t>
                  </w:r>
                </w:p>
              </w:tc>
              <w:tc>
                <w:tcPr>
                  <w:tcW w:w="3965" w:type="dxa"/>
                  <w:vAlign w:val="top"/>
                </w:tcPr>
                <w:p>
                  <w:pPr>
                    <w:shd w:val="clear" w:color="auto" w:fill="C7DAF1" w:themeFill="text2" w:themeFillTint="32"/>
                  </w:pPr>
                  <w:r>
                    <w:rPr>
                      <w:rFonts w:hint="eastAsia"/>
                    </w:rPr>
                    <w:t>下单前进行评审，确保顾客要求完全识别。</w:t>
                  </w:r>
                </w:p>
              </w:tc>
              <w:tc>
                <w:tcPr>
                  <w:tcW w:w="1717" w:type="dxa"/>
                  <w:vAlign w:val="top"/>
                </w:tcPr>
                <w:p>
                  <w:pPr>
                    <w:shd w:val="clear" w:color="auto" w:fill="C7DAF1" w:themeFill="text2" w:themeFillTint="32"/>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rPr>
                    <w:t>品质异常、客诉、过程异常处理</w:t>
                  </w:r>
                </w:p>
              </w:tc>
              <w:tc>
                <w:tcPr>
                  <w:tcW w:w="3965" w:type="dxa"/>
                  <w:vAlign w:val="top"/>
                </w:tcPr>
                <w:p>
                  <w:pPr>
                    <w:shd w:val="clear" w:color="auto" w:fill="C7DAF1" w:themeFill="text2" w:themeFillTint="32"/>
                  </w:pPr>
                  <w:r>
                    <w:rPr>
                      <w:rFonts w:hint="eastAsia"/>
                    </w:rPr>
                    <w:t>积极响应，发现不合格，查找不合格原因，探讨解决对策。</w:t>
                  </w:r>
                </w:p>
              </w:tc>
              <w:tc>
                <w:tcPr>
                  <w:tcW w:w="1717" w:type="dxa"/>
                  <w:vAlign w:val="top"/>
                </w:tcPr>
                <w:p>
                  <w:pPr>
                    <w:shd w:val="clear" w:color="auto" w:fill="C7DAF1" w:themeFill="text2" w:themeFillTint="32"/>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rPr>
                    <w:t>模具、治具管理</w:t>
                  </w:r>
                </w:p>
              </w:tc>
              <w:tc>
                <w:tcPr>
                  <w:tcW w:w="3965" w:type="dxa"/>
                  <w:vAlign w:val="top"/>
                </w:tcPr>
                <w:p>
                  <w:pPr>
                    <w:spacing w:line="300" w:lineRule="exact"/>
                    <w:rPr>
                      <w:rFonts w:hint="eastAsia"/>
                    </w:rPr>
                  </w:pPr>
                  <w:r>
                    <w:rPr>
                      <w:rFonts w:hint="eastAsia"/>
                    </w:rPr>
                    <w:t>模具、治具列入设备管理，新模具、重新安装的模具需经首件确认通过，方可使用。</w:t>
                  </w:r>
                </w:p>
                <w:p>
                  <w:pPr>
                    <w:shd w:val="clear" w:color="auto" w:fill="C7DAF1" w:themeFill="text2" w:themeFillTint="32"/>
                  </w:pPr>
                  <w:r>
                    <w:rPr>
                      <w:rFonts w:hint="eastAsia"/>
                    </w:rPr>
                    <w:t>卸模时，要针对产品成型情况确定模具的趋势，及时进行维修和保养。</w:t>
                  </w:r>
                </w:p>
              </w:tc>
              <w:tc>
                <w:tcPr>
                  <w:tcW w:w="1717" w:type="dxa"/>
                  <w:vAlign w:val="top"/>
                </w:tcPr>
                <w:p>
                  <w:pPr>
                    <w:shd w:val="clear" w:color="auto" w:fill="C7DAF1" w:themeFill="text2" w:themeFillTint="32"/>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rPr>
                    <w:t>设备操作</w:t>
                  </w:r>
                </w:p>
              </w:tc>
              <w:tc>
                <w:tcPr>
                  <w:tcW w:w="3965" w:type="dxa"/>
                  <w:vAlign w:val="top"/>
                </w:tcPr>
                <w:p>
                  <w:pPr>
                    <w:shd w:val="clear" w:color="auto" w:fill="C7DAF1" w:themeFill="text2" w:themeFillTint="32"/>
                  </w:pPr>
                  <w:r>
                    <w:rPr>
                      <w:rFonts w:hint="eastAsia"/>
                    </w:rPr>
                    <w:t>实行岗前培训（包括安全知识、操作技能、注意事项、工作内容、异常症状发现等）、试岗/考核、正式上岗、监管。</w:t>
                  </w:r>
                </w:p>
              </w:tc>
              <w:tc>
                <w:tcPr>
                  <w:tcW w:w="1717" w:type="dxa"/>
                  <w:vAlign w:val="top"/>
                </w:tcPr>
                <w:p>
                  <w:pPr>
                    <w:shd w:val="clear" w:color="auto" w:fill="C7DAF1" w:themeFill="text2" w:themeFillTint="32"/>
                  </w:pPr>
                  <w:r>
                    <w:rPr>
                      <w:rFonts w:hint="eastAsia"/>
                      <w:lang w:val="en-US" w:eastAsia="zh-CN"/>
                    </w:rPr>
                    <w:t>措施有效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产品一次交验合格率98%以上</w:t>
                  </w:r>
                </w:p>
              </w:tc>
              <w:tc>
                <w:tcPr>
                  <w:tcW w:w="3136" w:type="dxa"/>
                  <w:shd w:val="clear" w:color="auto" w:fill="auto"/>
                  <w:vAlign w:val="center"/>
                </w:tcPr>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rPr>
                    <w:t>品质月报表/生产统计表</w:t>
                  </w:r>
                </w:p>
              </w:tc>
              <w:tc>
                <w:tcPr>
                  <w:tcW w:w="1350" w:type="dxa"/>
                  <w:shd w:val="clear" w:color="auto" w:fill="auto"/>
                  <w:vAlign w:val="center"/>
                </w:tcPr>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lang w:val="en-US" w:eastAsia="zh-CN"/>
                    </w:rPr>
                    <w:t>生产部</w:t>
                  </w:r>
                </w:p>
              </w:tc>
              <w:tc>
                <w:tcPr>
                  <w:tcW w:w="1774" w:type="dxa"/>
                  <w:shd w:val="clear" w:color="auto" w:fill="auto"/>
                  <w:vAlign w:val="center"/>
                </w:tcPr>
                <w:p>
                  <w:pPr>
                    <w:shd w:val="clear" w:color="auto" w:fill="C7DAF1" w:themeFill="text2" w:themeFillTint="32"/>
                    <w:rPr>
                      <w:rFonts w:ascii="宋体" w:hAnsi="宋体" w:eastAsia="宋体" w:cs="Times New Roman"/>
                      <w:kern w:val="2"/>
                      <w:sz w:val="21"/>
                      <w:szCs w:val="24"/>
                      <w:lang w:val="en-GB" w:eastAsia="zh-CN" w:bidi="ar-SA"/>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出厂合格率100%</w:t>
                  </w: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rPr>
                    <w:t>送货单/客户订单</w:t>
                  </w: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US" w:eastAsia="zh-CN"/>
                    </w:rPr>
                    <w:t>生产部</w:t>
                  </w:r>
                </w:p>
              </w:tc>
              <w:tc>
                <w:tcPr>
                  <w:tcW w:w="1774"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相关方满意率9</w:t>
                  </w:r>
                  <w:r>
                    <w:rPr>
                      <w:rFonts w:hint="eastAsia"/>
                      <w:lang w:val="en-US" w:eastAsia="zh-CN"/>
                    </w:rPr>
                    <w:t>7</w:t>
                  </w:r>
                  <w:r>
                    <w:rPr>
                      <w:rFonts w:hint="eastAsia"/>
                    </w:rPr>
                    <w:t>%以上</w:t>
                  </w: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rPr>
                    <w:t>顾客满意度分析报告</w:t>
                  </w: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US" w:eastAsia="zh-CN"/>
                    </w:rPr>
                    <w:t>业务部</w:t>
                  </w:r>
                </w:p>
              </w:tc>
              <w:tc>
                <w:tcPr>
                  <w:tcW w:w="1774"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4000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中频炉</w:t>
            </w:r>
            <w:r>
              <w:rPr>
                <w:rFonts w:hint="eastAsia"/>
                <w:u w:val="single"/>
                <w:lang w:eastAsia="zh-CN"/>
              </w:rPr>
              <w:t>、</w:t>
            </w:r>
            <w:r>
              <w:rPr>
                <w:rFonts w:hint="eastAsia"/>
                <w:u w:val="single"/>
              </w:rPr>
              <w:t>造型机</w:t>
            </w:r>
            <w:r>
              <w:rPr>
                <w:rFonts w:hint="eastAsia"/>
                <w:u w:val="single"/>
                <w:lang w:eastAsia="zh-CN"/>
              </w:rPr>
              <w:t>、</w:t>
            </w:r>
            <w:r>
              <w:rPr>
                <w:rFonts w:hint="eastAsia"/>
                <w:u w:val="single"/>
              </w:rPr>
              <w:t>手持角磨机</w:t>
            </w:r>
            <w:r>
              <w:rPr>
                <w:rFonts w:hint="eastAsia"/>
                <w:u w:val="single"/>
                <w:lang w:eastAsia="zh-CN"/>
              </w:rPr>
              <w:t>、</w:t>
            </w:r>
            <w:r>
              <w:rPr>
                <w:rFonts w:hint="eastAsia"/>
                <w:u w:val="single"/>
              </w:rPr>
              <w:t>搅拌机</w:t>
            </w:r>
            <w:r>
              <w:rPr>
                <w:rFonts w:hint="eastAsia"/>
                <w:u w:val="single"/>
                <w:lang w:eastAsia="zh-CN"/>
              </w:rPr>
              <w:t>、</w:t>
            </w:r>
            <w:r>
              <w:rPr>
                <w:rFonts w:hint="eastAsia"/>
                <w:u w:val="single"/>
              </w:rPr>
              <w:t>抛丸机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pPr>
            <w:r>
              <w:t>组织</w:t>
            </w:r>
            <w:r>
              <w:rPr>
                <w:rFonts w:hint="eastAsia"/>
              </w:rPr>
              <w:t>已</w:t>
            </w:r>
            <w:r>
              <w:t>确定所需的知识，以运行过程并获得合格产品和服务</w:t>
            </w:r>
          </w:p>
          <w:p>
            <w:pPr>
              <w:shd w:val="clear" w:color="auto" w:fill="C7DAF1"/>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sym w:font="Wingdings 2" w:char="0052"/>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pPr>
            <w:r>
              <w:rPr>
                <w:rFonts w:hint="eastAsia"/>
              </w:rPr>
              <w:t>组织为对产品和服务提供满足的要求，已对产品和服务提供的过程（见4.4）进行策划、实施和控制。策划文件包括：</w:t>
            </w:r>
          </w:p>
          <w:p>
            <w:pPr>
              <w:shd w:val="clear" w:color="auto" w:fill="C7DAF1"/>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组织建立并实施了与顾客沟通；如产品和服务的信息、顾客投诉、顾客财产、应急措施等。</w:t>
            </w:r>
          </w:p>
          <w:p>
            <w:pPr>
              <w:shd w:val="clear" w:color="auto" w:fill="C7DAF1"/>
            </w:pPr>
            <w:r>
              <w:rPr>
                <w:rFonts w:hint="eastAsia"/>
              </w:rPr>
              <w:t>组织对产品和服务要求进行了评审，确保有能力向顾客提供满足要求的产品和服务。</w:t>
            </w:r>
          </w:p>
          <w:p>
            <w:pPr>
              <w:shd w:val="clear" w:color="auto" w:fill="C7DAF1"/>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sym w:font="Wingdings 2" w:char="0052"/>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组织建立、实施和保持了适当的设计和开发过程，以确保后续的产品和服务的提供。（适用时）</w:t>
            </w:r>
          </w:p>
          <w:p>
            <w:pPr>
              <w:shd w:val="clear" w:color="auto" w:fill="C7DAF1"/>
            </w:pPr>
            <w:r>
              <w:rPr>
                <w:rFonts w:hint="eastAsia"/>
              </w:rPr>
              <w:t>审核期间内设计和开发新产品/项目名称：</w:t>
            </w:r>
            <w:r>
              <w:rPr>
                <w:rFonts w:hint="eastAsia"/>
                <w:u w:val="single"/>
              </w:rPr>
              <w:t>（</w:t>
            </w:r>
            <w:r>
              <w:rPr>
                <w:rFonts w:hint="eastAsia"/>
              </w:rPr>
              <w:t>举1例）</w:t>
            </w:r>
          </w:p>
          <w:p>
            <w:pPr>
              <w:shd w:val="clear" w:color="auto" w:fill="C7DAF1"/>
            </w:pPr>
            <w:r>
              <w:rPr>
                <w:rFonts w:hint="eastAsia"/>
              </w:rPr>
              <w:t>该项目的设计和开发的输入、输出、变更进行了控制。</w:t>
            </w:r>
          </w:p>
          <w:p>
            <w:pPr>
              <w:shd w:val="clear" w:color="auto" w:fill="C7DAF1"/>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jc w:val="left"/>
            </w:pPr>
            <w:r>
              <w:rPr>
                <w:rFonts w:hint="eastAsia"/>
              </w:rPr>
              <w:t>组织对外部提供的过程、产品和服务的供方按照对产品/服务质量的类型和程度实施控制。</w:t>
            </w:r>
          </w:p>
          <w:p>
            <w:pPr>
              <w:shd w:val="clear" w:color="auto" w:fill="C7DAF1"/>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eastAsia="宋体"/>
                      <w:lang w:val="en-US" w:eastAsia="zh-CN"/>
                    </w:rPr>
                    <w:t>球墨铸铁井盖的加工及销售</w:t>
                  </w:r>
                </w:p>
              </w:tc>
              <w:tc>
                <w:tcPr>
                  <w:tcW w:w="3665"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lang w:val="en-US" w:eastAsia="zh-CN"/>
                    </w:rPr>
                    <w:t>熔化</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温度控制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eastAsia="宋体"/>
                      <w:lang w:val="en-US" w:eastAsia="zh-CN"/>
                    </w:rPr>
                    <w:t>球墨铸铁井盖的加工及销售</w:t>
                  </w:r>
                </w:p>
              </w:tc>
              <w:tc>
                <w:tcPr>
                  <w:tcW w:w="3665" w:type="dxa"/>
                  <w:vAlign w:val="top"/>
                </w:tcPr>
                <w:p>
                  <w:pPr>
                    <w:shd w:val="clear" w:color="auto" w:fill="C7DAF1" w:themeFill="text2" w:themeFillTint="32"/>
                    <w:jc w:val="left"/>
                    <w:rPr>
                      <w:rFonts w:ascii="Times New Roman" w:hAnsi="Times New Roman" w:eastAsia="宋体" w:cs="Times New Roman"/>
                      <w:kern w:val="2"/>
                      <w:sz w:val="21"/>
                      <w:szCs w:val="24"/>
                      <w:highlight w:val="none"/>
                      <w:lang w:val="en-US" w:eastAsia="zh-CN" w:bidi="ar-SA"/>
                    </w:rPr>
                  </w:pPr>
                  <w:r>
                    <w:rPr>
                      <w:rFonts w:hint="eastAsia"/>
                      <w:highlight w:val="none"/>
                    </w:rPr>
                    <w:t>浇注</w:t>
                  </w:r>
                </w:p>
              </w:tc>
              <w:tc>
                <w:tcPr>
                  <w:tcW w:w="3265" w:type="dxa"/>
                  <w:vAlign w:val="top"/>
                </w:tcPr>
                <w:p>
                  <w:pPr>
                    <w:shd w:val="clear" w:color="auto" w:fill="C7DAF1" w:themeFill="text2" w:themeFillTint="32"/>
                    <w:jc w:val="left"/>
                    <w:rPr>
                      <w:rFonts w:ascii="Times New Roman" w:hAnsi="Times New Roman" w:eastAsia="宋体" w:cs="Times New Roman"/>
                      <w:kern w:val="2"/>
                      <w:sz w:val="21"/>
                      <w:szCs w:val="24"/>
                      <w:highlight w:val="none"/>
                      <w:lang w:val="en-US" w:eastAsia="zh-CN" w:bidi="ar-SA"/>
                    </w:rPr>
                  </w:pPr>
                  <w:r>
                    <w:rPr>
                      <w:rFonts w:hint="eastAsia"/>
                      <w:highlight w:val="none"/>
                    </w:rPr>
                    <w:t>浇注温度和浇注速度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需要确认的过程：熔化和浇</w:t>
            </w:r>
            <w:r>
              <w:rPr>
                <w:rFonts w:hint="eastAsia"/>
                <w:highlight w:val="none"/>
              </w:rPr>
              <w:t>注</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jc w:val="left"/>
            </w:pPr>
            <w:r>
              <w:rPr>
                <w:rFonts w:hint="eastAsia"/>
              </w:rPr>
              <w:t>组织在生产和服务提供的整个过程中对产品和监视和测量状态进行标识和追溯。</w:t>
            </w:r>
          </w:p>
          <w:p>
            <w:pPr>
              <w:shd w:val="clear" w:color="auto" w:fill="C7DAF1"/>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sym w:font="Wingdings 2" w:char="0052"/>
            </w:r>
            <w:r>
              <w:rPr>
                <w:rFonts w:hint="eastAsia"/>
              </w:rPr>
              <w:t>容器编号</w:t>
            </w:r>
            <w:r>
              <w:rPr>
                <w:rFonts w:hint="eastAsia" w:ascii="Wingdings" w:hAnsi="Wingdings"/>
                <w:lang w:eastAsia="zh-CN"/>
              </w:rPr>
              <w:sym w:font="Wingdings 2" w:char="0052"/>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组织爱护在组织控制下或使用顾客或外部供方的财产。</w:t>
            </w:r>
          </w:p>
          <w:p>
            <w:pPr>
              <w:shd w:val="clear" w:color="auto" w:fill="C7DAF1"/>
            </w:pPr>
            <w:r>
              <w:rPr>
                <w:rFonts w:hint="eastAsia"/>
              </w:rPr>
              <w:t>目前的顾客或外部供方财产包括：</w:t>
            </w:r>
          </w:p>
          <w:p>
            <w:pPr>
              <w:shd w:val="clear" w:color="auto" w:fill="C7DAF1"/>
            </w:pPr>
            <w:r>
              <w:rPr>
                <w:rFonts w:hint="eastAsia" w:ascii="Wingdings" w:hAnsi="Wingdings"/>
                <w:lang w:eastAsia="zh-CN"/>
              </w:rPr>
              <w:sym w:font="Wingdings 2" w:char="00A3"/>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sym w:font="Wingdings 2" w:char="00A3"/>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jc w:val="left"/>
              <w:rPr>
                <w:rFonts w:ascii="Times New Roman" w:hAnsi="Times New Roman" w:eastAsia="宋体" w:cs="Times New Roman"/>
                <w:kern w:val="2"/>
                <w:sz w:val="21"/>
                <w:szCs w:val="24"/>
                <w:lang w:val="en-US" w:eastAsia="zh-CN" w:bidi="ar-SA"/>
              </w:rPr>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组织应在生产和服务提供期间对输出进行必要防护，以确保符合要求。</w:t>
            </w:r>
          </w:p>
          <w:p>
            <w:pPr>
              <w:shd w:val="clear" w:color="auto" w:fill="C7DAF1"/>
            </w:pPr>
            <w:r>
              <w:rPr>
                <w:rFonts w:hint="eastAsia"/>
              </w:rPr>
              <w:t>可包括标识、处置、污染控制、包装、储存、传输或运输以及保护。</w:t>
            </w:r>
          </w:p>
          <w:p>
            <w:pPr>
              <w:shd w:val="clear" w:color="auto" w:fill="C7DAF1"/>
              <w:jc w:val="left"/>
              <w:rPr>
                <w:rFonts w:ascii="Times New Roman" w:hAnsi="Times New Roman" w:eastAsia="宋体" w:cs="Times New Roman"/>
                <w:kern w:val="2"/>
                <w:sz w:val="21"/>
                <w:szCs w:val="24"/>
                <w:lang w:val="en-US" w:eastAsia="zh-CN" w:bidi="ar-SA"/>
              </w:rPr>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组织应满足与产品和服务相关的交付后活动的要求。</w:t>
            </w:r>
          </w:p>
          <w:p>
            <w:pPr>
              <w:shd w:val="clear" w:color="auto" w:fill="C7DAF1"/>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A3"/>
            </w:r>
            <w:r>
              <w:rPr>
                <w:rFonts w:hint="eastAsia"/>
              </w:rPr>
              <w:t>维修</w:t>
            </w:r>
            <w:r>
              <w:rPr>
                <w:rFonts w:hint="eastAsia" w:ascii="Wingdings" w:hAnsi="Wingdings"/>
                <w:lang w:eastAsia="zh-CN"/>
              </w:rPr>
              <w:sym w:font="Wingdings 2" w:char="0052"/>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组织对生产和服务提供的更改进行必要的评审和控制，以确保持续地符合要求。</w:t>
            </w:r>
          </w:p>
          <w:p>
            <w:pPr>
              <w:shd w:val="clear" w:color="auto" w:fill="C7DAF1"/>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组织在适当阶段实施策划的安排，以验证产品和服务的要求已得到满足。</w:t>
            </w:r>
          </w:p>
          <w:p>
            <w:pPr>
              <w:shd w:val="clear" w:color="auto" w:fill="C7DAF1"/>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sym w:font="Wingdings 2" w:char="0052"/>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A3"/>
            </w:r>
            <w:r>
              <w:rPr>
                <w:rFonts w:hint="eastAsia"/>
              </w:rPr>
              <w:t>型式检验</w:t>
            </w:r>
            <w:r>
              <w:rPr>
                <w:rFonts w:hint="eastAsia" w:ascii="Wingdings" w:hAnsi="Wingdings"/>
                <w:lang w:eastAsia="zh-CN"/>
              </w:rPr>
              <w:t>□</w:t>
            </w:r>
            <w:r>
              <w:rPr>
                <w:rFonts w:hint="eastAsia"/>
              </w:rPr>
              <w:t>其他</w:t>
            </w:r>
          </w:p>
          <w:p>
            <w:pPr>
              <w:shd w:val="clear" w:color="auto" w:fill="C7DAF1"/>
            </w:pPr>
            <w:r>
              <w:rPr>
                <w:rFonts w:hint="eastAsia"/>
              </w:rPr>
              <w:t>《型式检验报告》，如：。</w:t>
            </w:r>
          </w:p>
          <w:p>
            <w:pPr>
              <w:shd w:val="clear" w:color="auto" w:fill="C7DAF1"/>
              <w:rPr>
                <w:rFonts w:ascii="Times New Roman" w:hAnsi="Times New Roman" w:eastAsia="宋体" w:cs="Times New Roman"/>
                <w:kern w:val="2"/>
                <w:sz w:val="21"/>
                <w:szCs w:val="24"/>
                <w:lang w:val="en-US" w:eastAsia="zh-CN" w:bidi="ar-SA"/>
              </w:rPr>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组织确保对不符合要求的输出进行识别和控制，以防止非预期的使用或交付。</w:t>
            </w:r>
          </w:p>
          <w:p>
            <w:pPr>
              <w:shd w:val="clear" w:color="auto" w:fill="C7DAF1"/>
              <w:rPr>
                <w:rFonts w:ascii="Times New Roman" w:hAnsi="Times New Roman" w:eastAsia="宋体" w:cs="Times New Roman"/>
                <w:kern w:val="2"/>
                <w:sz w:val="21"/>
                <w:szCs w:val="24"/>
                <w:lang w:val="en-US" w:eastAsia="zh-CN" w:bidi="ar-SA"/>
              </w:rPr>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11</w:t>
            </w:r>
            <w:r>
              <w:rPr>
                <w:rFonts w:hint="eastAsia"/>
              </w:rPr>
              <w:t>月</w:t>
            </w:r>
            <w:r>
              <w:rPr>
                <w:rFonts w:hint="eastAsia"/>
                <w:lang w:val="en-US" w:eastAsia="zh-CN"/>
              </w:rPr>
              <w:t>19</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12</w:t>
            </w:r>
            <w:r>
              <w:rPr>
                <w:rFonts w:hint="eastAsia"/>
              </w:rPr>
              <w:t>月</w:t>
            </w:r>
            <w:r>
              <w:rPr>
                <w:rFonts w:hint="eastAsia"/>
                <w:lang w:val="en-US" w:eastAsia="zh-CN"/>
              </w:rPr>
              <w:t>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sz w:val="20"/>
          <w:szCs w:val="20"/>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幼圆">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ExNTRhZmMwYTZhMGE0NzY5YTQ4OGYyNzNkZGE0NDYifQ=="/>
  </w:docVars>
  <w:rsids>
    <w:rsidRoot w:val="00000000"/>
    <w:rsid w:val="7C0E58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3165</Words>
  <Characters>18045</Characters>
  <Lines>150</Lines>
  <Paragraphs>42</Paragraphs>
  <TotalTime>1</TotalTime>
  <ScaleCrop>false</ScaleCrop>
  <LinksUpToDate>false</LinksUpToDate>
  <CharactersWithSpaces>21168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2022-12-17T14:28:49Z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2052-11.1.0.12980</vt:lpwstr>
  </property>
</Properties>
</file>