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149"/>
        <w:gridCol w:w="10785"/>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23"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1149"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785" w:type="dxa"/>
            <w:vAlign w:val="center"/>
          </w:tcPr>
          <w:p>
            <w:pPr>
              <w:spacing w:line="360" w:lineRule="auto"/>
              <w:rPr>
                <w:rFonts w:hint="default" w:eastAsia="宋体"/>
                <w:sz w:val="21"/>
                <w:szCs w:val="21"/>
                <w:lang w:val="en-US" w:eastAsia="zh-CN"/>
              </w:rPr>
            </w:pPr>
            <w:r>
              <w:rPr>
                <w:rFonts w:hint="eastAsia"/>
                <w:sz w:val="21"/>
                <w:szCs w:val="21"/>
              </w:rPr>
              <w:t xml:space="preserve">受审核部门：管理层 </w:t>
            </w:r>
            <w:r>
              <w:rPr>
                <w:sz w:val="21"/>
                <w:szCs w:val="21"/>
              </w:rPr>
              <w:t xml:space="preserve">  </w:t>
            </w:r>
            <w:r>
              <w:rPr>
                <w:rFonts w:hint="eastAsia"/>
                <w:sz w:val="21"/>
                <w:szCs w:val="21"/>
                <w:lang w:val="en-US" w:eastAsia="zh-CN"/>
              </w:rPr>
              <w:t xml:space="preserve">  </w:t>
            </w:r>
            <w:r>
              <w:rPr>
                <w:sz w:val="21"/>
                <w:szCs w:val="21"/>
              </w:rPr>
              <w:t xml:space="preserve"> </w:t>
            </w:r>
            <w:r>
              <w:rPr>
                <w:rFonts w:hint="eastAsia"/>
                <w:sz w:val="21"/>
                <w:szCs w:val="21"/>
              </w:rPr>
              <w:t>总经理：</w:t>
            </w:r>
            <w:r>
              <w:rPr>
                <w:rFonts w:hint="eastAsia"/>
                <w:sz w:val="21"/>
                <w:szCs w:val="21"/>
                <w:lang w:eastAsia="zh-CN"/>
              </w:rPr>
              <w:t>胡金亮</w:t>
            </w:r>
            <w:r>
              <w:rPr>
                <w:rFonts w:hint="eastAsia"/>
                <w:sz w:val="21"/>
                <w:szCs w:val="21"/>
              </w:rPr>
              <w:t xml:space="preserve">  </w:t>
            </w:r>
            <w:r>
              <w:rPr>
                <w:rFonts w:hint="eastAsia"/>
                <w:sz w:val="21"/>
                <w:szCs w:val="21"/>
                <w:lang w:val="en-US" w:eastAsia="zh-CN"/>
              </w:rPr>
              <w:t xml:space="preserve">  </w:t>
            </w:r>
            <w:r>
              <w:rPr>
                <w:rFonts w:hint="eastAsia"/>
                <w:sz w:val="21"/>
                <w:szCs w:val="21"/>
              </w:rPr>
              <w:t>管代：</w:t>
            </w:r>
            <w:r>
              <w:rPr>
                <w:rFonts w:hint="eastAsia"/>
                <w:sz w:val="21"/>
                <w:szCs w:val="21"/>
                <w:lang w:eastAsia="zh-CN"/>
              </w:rPr>
              <w:t>范成意</w:t>
            </w:r>
            <w:r>
              <w:rPr>
                <w:rFonts w:hint="eastAsia"/>
                <w:sz w:val="21"/>
                <w:szCs w:val="21"/>
                <w:lang w:val="en-US" w:eastAsia="zh-CN"/>
              </w:rPr>
              <w:t xml:space="preserve">     陪同人员：顾凯丽</w:t>
            </w:r>
          </w:p>
        </w:tc>
        <w:tc>
          <w:tcPr>
            <w:tcW w:w="752"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3" w:type="dxa"/>
            <w:vMerge w:val="continue"/>
            <w:vAlign w:val="center"/>
          </w:tcPr>
          <w:p>
            <w:pPr>
              <w:spacing w:line="360" w:lineRule="auto"/>
              <w:rPr>
                <w:sz w:val="21"/>
                <w:szCs w:val="21"/>
              </w:rPr>
            </w:pPr>
          </w:p>
        </w:tc>
        <w:tc>
          <w:tcPr>
            <w:tcW w:w="1149" w:type="dxa"/>
            <w:vMerge w:val="continue"/>
            <w:vAlign w:val="center"/>
          </w:tcPr>
          <w:p>
            <w:pPr>
              <w:spacing w:line="360" w:lineRule="auto"/>
              <w:rPr>
                <w:sz w:val="21"/>
                <w:szCs w:val="21"/>
              </w:rPr>
            </w:pPr>
          </w:p>
        </w:tc>
        <w:tc>
          <w:tcPr>
            <w:tcW w:w="10785" w:type="dxa"/>
            <w:vAlign w:val="center"/>
          </w:tcPr>
          <w:p>
            <w:pPr>
              <w:spacing w:line="360" w:lineRule="auto"/>
              <w:rPr>
                <w:sz w:val="21"/>
                <w:szCs w:val="21"/>
              </w:rPr>
            </w:pPr>
            <w:r>
              <w:rPr>
                <w:rFonts w:hint="eastAsia"/>
                <w:sz w:val="21"/>
                <w:szCs w:val="21"/>
              </w:rPr>
              <w:t>审核员：</w:t>
            </w:r>
            <w:r>
              <w:rPr>
                <w:rFonts w:hint="eastAsia"/>
                <w:sz w:val="21"/>
                <w:szCs w:val="21"/>
                <w:lang w:val="en-US" w:eastAsia="zh-CN"/>
              </w:rPr>
              <w:t>孙伟（远程微信沟通）</w:t>
            </w:r>
            <w:r>
              <w:rPr>
                <w:rFonts w:hint="eastAsia"/>
                <w:sz w:val="21"/>
                <w:szCs w:val="21"/>
              </w:rPr>
              <w:t xml:space="preserve">   </w:t>
            </w:r>
            <w:r>
              <w:rPr>
                <w:rFonts w:hint="eastAsia"/>
                <w:sz w:val="21"/>
                <w:szCs w:val="21"/>
                <w:lang w:val="en-US" w:eastAsia="zh-CN"/>
              </w:rPr>
              <w:t xml:space="preserve">         </w:t>
            </w:r>
            <w:r>
              <w:rPr>
                <w:rFonts w:hint="eastAsia"/>
                <w:sz w:val="21"/>
                <w:szCs w:val="21"/>
              </w:rPr>
              <w:t>审核时间：2022年</w:t>
            </w:r>
            <w:r>
              <w:rPr>
                <w:rFonts w:hint="eastAsia"/>
                <w:sz w:val="21"/>
                <w:szCs w:val="21"/>
                <w:lang w:val="en-US" w:eastAsia="zh-CN"/>
              </w:rPr>
              <w:t>12</w:t>
            </w:r>
            <w:r>
              <w:rPr>
                <w:rFonts w:hint="eastAsia"/>
                <w:sz w:val="21"/>
                <w:szCs w:val="21"/>
              </w:rPr>
              <w:t>月</w:t>
            </w:r>
            <w:r>
              <w:rPr>
                <w:rFonts w:hint="eastAsia"/>
                <w:sz w:val="21"/>
                <w:szCs w:val="21"/>
                <w:lang w:val="en-US" w:eastAsia="zh-CN"/>
              </w:rPr>
              <w:t>18</w:t>
            </w:r>
            <w:r>
              <w:rPr>
                <w:rFonts w:hint="eastAsia"/>
                <w:sz w:val="21"/>
                <w:szCs w:val="21"/>
              </w:rPr>
              <w:t>日</w:t>
            </w:r>
          </w:p>
        </w:tc>
        <w:tc>
          <w:tcPr>
            <w:tcW w:w="752"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Merge w:val="continue"/>
            <w:vAlign w:val="center"/>
          </w:tcPr>
          <w:p>
            <w:pPr>
              <w:spacing w:line="360" w:lineRule="auto"/>
              <w:rPr>
                <w:sz w:val="21"/>
                <w:szCs w:val="21"/>
              </w:rPr>
            </w:pPr>
          </w:p>
        </w:tc>
        <w:tc>
          <w:tcPr>
            <w:tcW w:w="1149" w:type="dxa"/>
            <w:vMerge w:val="continue"/>
            <w:vAlign w:val="center"/>
          </w:tcPr>
          <w:p>
            <w:pPr>
              <w:spacing w:line="360" w:lineRule="auto"/>
              <w:rPr>
                <w:sz w:val="21"/>
                <w:szCs w:val="21"/>
              </w:rPr>
            </w:pPr>
          </w:p>
        </w:tc>
        <w:tc>
          <w:tcPr>
            <w:tcW w:w="10785" w:type="dxa"/>
            <w:vAlign w:val="center"/>
          </w:tcPr>
          <w:p>
            <w:pPr>
              <w:spacing w:line="360" w:lineRule="auto"/>
              <w:rPr>
                <w:sz w:val="21"/>
                <w:szCs w:val="21"/>
              </w:rPr>
            </w:pPr>
            <w:r>
              <w:rPr>
                <w:rFonts w:hint="eastAsia"/>
                <w:sz w:val="21"/>
                <w:szCs w:val="21"/>
              </w:rPr>
              <w:t>审核条款：</w:t>
            </w:r>
          </w:p>
          <w:p>
            <w:pPr>
              <w:pStyle w:val="12"/>
              <w:spacing w:line="360" w:lineRule="auto"/>
              <w:rPr>
                <w:rFonts w:hint="eastAsia"/>
                <w:sz w:val="21"/>
                <w:szCs w:val="21"/>
              </w:rPr>
            </w:pPr>
            <w:r>
              <w:rPr>
                <w:rFonts w:hint="eastAsia"/>
                <w:sz w:val="21"/>
                <w:szCs w:val="21"/>
              </w:rPr>
              <w:t>Q:4.1组织及其环境；4.2相关方需求与期望；4.3确定体系范围；4.4体系及其过程；5.1领导作用与承诺；5.2方针；5.3组织的角色、职责和权限；6.1应对风险和机遇的措施；6.2目标及其实现的策划；6.3变更的策划；7.1.1资源 总则；7.4沟通；9.1.1监视、测量、分析和评价总则；9.3管理评审；10.1改进 总则；10.3持续改进；</w:t>
            </w:r>
          </w:p>
          <w:p>
            <w:pPr>
              <w:pStyle w:val="12"/>
              <w:spacing w:line="360" w:lineRule="auto"/>
              <w:rPr>
                <w:sz w:val="21"/>
                <w:szCs w:val="21"/>
              </w:rPr>
            </w:pPr>
            <w:r>
              <w:rPr>
                <w:rFonts w:hint="eastAsia"/>
                <w:sz w:val="21"/>
                <w:szCs w:val="21"/>
              </w:rPr>
              <w:t>标准/规范/法规的执行情况、上次审核不符合项的验证、认证证书、标志的使用情况、投诉或事故、监督抽查情况、体系变动</w:t>
            </w:r>
          </w:p>
        </w:tc>
        <w:tc>
          <w:tcPr>
            <w:tcW w:w="752"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tcPr>
          <w:p>
            <w:pPr>
              <w:spacing w:line="360" w:lineRule="auto"/>
              <w:rPr>
                <w:rFonts w:ascii="宋体" w:hAnsi="宋体" w:cs="宋体"/>
                <w:sz w:val="21"/>
                <w:szCs w:val="21"/>
              </w:rPr>
            </w:pPr>
            <w:r>
              <w:rPr>
                <w:rFonts w:hint="eastAsia" w:ascii="宋体" w:hAnsi="宋体" w:cs="宋体"/>
                <w:sz w:val="21"/>
                <w:szCs w:val="21"/>
              </w:rPr>
              <w:t>理解组织及其环境</w:t>
            </w:r>
          </w:p>
          <w:p>
            <w:pPr>
              <w:spacing w:line="360" w:lineRule="auto"/>
              <w:rPr>
                <w:rFonts w:ascii="宋体" w:hAnsi="宋体" w:cs="宋体"/>
                <w:sz w:val="21"/>
                <w:szCs w:val="21"/>
              </w:rPr>
            </w:pPr>
            <w:r>
              <w:rPr>
                <w:rFonts w:hint="eastAsia" w:ascii="宋体" w:hAnsi="宋体" w:cs="宋体"/>
                <w:sz w:val="21"/>
                <w:szCs w:val="21"/>
              </w:rPr>
              <w:t>总要求</w:t>
            </w:r>
          </w:p>
          <w:p>
            <w:pPr>
              <w:spacing w:line="360" w:lineRule="auto"/>
              <w:rPr>
                <w:sz w:val="21"/>
                <w:szCs w:val="21"/>
              </w:rPr>
            </w:pPr>
          </w:p>
        </w:tc>
        <w:tc>
          <w:tcPr>
            <w:tcW w:w="1149" w:type="dxa"/>
          </w:tcPr>
          <w:p>
            <w:pPr>
              <w:spacing w:line="360" w:lineRule="auto"/>
              <w:rPr>
                <w:rFonts w:ascii="宋体" w:hAnsi="宋体" w:cs="宋体"/>
                <w:sz w:val="21"/>
                <w:szCs w:val="21"/>
              </w:rPr>
            </w:pPr>
            <w:r>
              <w:rPr>
                <w:rFonts w:hint="eastAsia" w:ascii="宋体" w:hAnsi="宋体" w:cs="宋体"/>
                <w:sz w:val="21"/>
                <w:szCs w:val="21"/>
                <w:lang w:eastAsia="zh-CN"/>
              </w:rPr>
              <w:t>Q</w:t>
            </w:r>
            <w:r>
              <w:rPr>
                <w:rFonts w:hint="eastAsia" w:ascii="宋体" w:hAnsi="宋体" w:cs="宋体"/>
                <w:sz w:val="21"/>
                <w:szCs w:val="21"/>
              </w:rPr>
              <w:t>4.1</w:t>
            </w:r>
          </w:p>
          <w:p>
            <w:pPr>
              <w:spacing w:line="360" w:lineRule="auto"/>
              <w:rPr>
                <w:sz w:val="21"/>
                <w:szCs w:val="21"/>
              </w:rPr>
            </w:pPr>
          </w:p>
        </w:tc>
        <w:tc>
          <w:tcPr>
            <w:tcW w:w="10785" w:type="dxa"/>
            <w:vAlign w:val="center"/>
          </w:tcPr>
          <w:p>
            <w:pPr>
              <w:spacing w:line="360" w:lineRule="auto"/>
              <w:ind w:firstLine="420" w:firstLineChars="200"/>
              <w:rPr>
                <w:rFonts w:hint="eastAsia"/>
                <w:sz w:val="21"/>
                <w:szCs w:val="21"/>
              </w:rPr>
            </w:pPr>
            <w:r>
              <w:rPr>
                <w:rFonts w:hint="eastAsia"/>
                <w:sz w:val="21"/>
                <w:szCs w:val="21"/>
              </w:rPr>
              <w:t>南通森业道路设施有限公司，注册地址：南通市开发区竹行镇东方大道336号，</w:t>
            </w:r>
            <w:r>
              <w:rPr>
                <w:rFonts w:hint="eastAsia"/>
                <w:sz w:val="21"/>
                <w:szCs w:val="21"/>
                <w:lang w:val="en-US" w:eastAsia="zh-CN"/>
              </w:rPr>
              <w:t>生产</w:t>
            </w:r>
            <w:r>
              <w:rPr>
                <w:rFonts w:hint="eastAsia"/>
                <w:sz w:val="21"/>
                <w:szCs w:val="21"/>
              </w:rPr>
              <w:t>经营地址</w:t>
            </w:r>
            <w:r>
              <w:rPr>
                <w:rFonts w:hint="eastAsia"/>
                <w:sz w:val="21"/>
                <w:szCs w:val="21"/>
                <w:lang w:eastAsia="zh-CN"/>
              </w:rPr>
              <w:t>：南通开发区庙桥村</w:t>
            </w:r>
            <w:r>
              <w:rPr>
                <w:rFonts w:hint="eastAsia"/>
                <w:sz w:val="21"/>
                <w:szCs w:val="21"/>
              </w:rPr>
              <w:t>，</w:t>
            </w:r>
            <w:r>
              <w:rPr>
                <w:rFonts w:hint="eastAsia"/>
                <w:sz w:val="21"/>
                <w:szCs w:val="21"/>
                <w:lang w:val="en-US" w:eastAsia="zh-CN"/>
              </w:rPr>
              <w:t>与申请注册时相一致，未发生变化</w:t>
            </w:r>
            <w:r>
              <w:rPr>
                <w:rFonts w:hint="eastAsia"/>
                <w:sz w:val="21"/>
                <w:szCs w:val="21"/>
              </w:rPr>
              <w:t>。公司成立于2017年，运用严格的生产管理体系，专业加工球墨铸铁类材质产品。</w:t>
            </w:r>
          </w:p>
          <w:p>
            <w:pPr>
              <w:spacing w:line="360" w:lineRule="auto"/>
              <w:ind w:firstLine="420" w:firstLineChars="200"/>
              <w:rPr>
                <w:rFonts w:hint="eastAsia"/>
                <w:sz w:val="21"/>
                <w:szCs w:val="21"/>
              </w:rPr>
            </w:pPr>
            <w:r>
              <w:rPr>
                <w:rFonts w:hint="eastAsia"/>
                <w:sz w:val="21"/>
                <w:szCs w:val="21"/>
              </w:rPr>
              <w:t>管理手册，实施、发布日期：202</w:t>
            </w:r>
            <w:r>
              <w:rPr>
                <w:rFonts w:hint="eastAsia"/>
                <w:sz w:val="21"/>
                <w:szCs w:val="21"/>
                <w:lang w:val="en-US" w:eastAsia="zh-CN"/>
              </w:rPr>
              <w:t>0</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18</w:t>
            </w:r>
            <w:r>
              <w:rPr>
                <w:rFonts w:hint="eastAsia"/>
                <w:sz w:val="21"/>
                <w:szCs w:val="21"/>
              </w:rPr>
              <w:t>日。</w:t>
            </w:r>
          </w:p>
          <w:p>
            <w:pPr>
              <w:spacing w:line="360" w:lineRule="auto"/>
              <w:ind w:firstLine="420" w:firstLineChars="200"/>
              <w:rPr>
                <w:rFonts w:ascii="Arial" w:hAnsi="Arial" w:cs="Arial"/>
                <w:sz w:val="21"/>
                <w:szCs w:val="21"/>
              </w:rPr>
            </w:pPr>
            <w:r>
              <w:rPr>
                <w:rFonts w:hint="eastAsia"/>
                <w:sz w:val="21"/>
                <w:szCs w:val="21"/>
              </w:rPr>
              <w:t>认证范围：</w:t>
            </w:r>
            <w:r>
              <w:rPr>
                <w:rFonts w:hint="eastAsia" w:ascii="Arial" w:hAnsi="Arial" w:cs="Arial"/>
                <w:sz w:val="21"/>
                <w:szCs w:val="21"/>
              </w:rPr>
              <w:t>Q：</w:t>
            </w:r>
            <w:r>
              <w:rPr>
                <w:rFonts w:hint="eastAsia"/>
                <w:sz w:val="21"/>
                <w:szCs w:val="21"/>
              </w:rPr>
              <w:t>球墨铸铁井盖的加工及销售</w:t>
            </w:r>
          </w:p>
          <w:p>
            <w:pPr>
              <w:spacing w:line="360" w:lineRule="auto"/>
              <w:ind w:firstLine="420" w:firstLineChars="200"/>
              <w:rPr>
                <w:rFonts w:ascii="宋体" w:hAnsi="宋体" w:cs="宋体"/>
                <w:sz w:val="21"/>
                <w:szCs w:val="21"/>
              </w:rPr>
            </w:pPr>
            <w:r>
              <w:rPr>
                <w:rFonts w:hint="eastAsia" w:ascii="宋体" w:hAnsi="宋体" w:cs="宋体"/>
                <w:sz w:val="21"/>
                <w:szCs w:val="21"/>
              </w:rPr>
              <w:t>法律法规：公司地处</w:t>
            </w:r>
            <w:r>
              <w:rPr>
                <w:rFonts w:hint="eastAsia" w:ascii="Arial" w:hAnsi="Arial" w:cs="Arial"/>
                <w:color w:val="333333"/>
                <w:sz w:val="21"/>
                <w:szCs w:val="21"/>
              </w:rPr>
              <w:t>南通开发区庙桥村</w:t>
            </w:r>
            <w:r>
              <w:rPr>
                <w:rFonts w:hint="eastAsia" w:ascii="宋体" w:hAnsi="宋体" w:cs="宋体"/>
                <w:sz w:val="21"/>
                <w:szCs w:val="21"/>
              </w:rPr>
              <w:t>，符合国家、本省、地方的环境和安全法律法规要求。</w:t>
            </w:r>
          </w:p>
          <w:p>
            <w:pPr>
              <w:autoSpaceDE w:val="0"/>
              <w:autoSpaceDN w:val="0"/>
              <w:adjustRightInd w:val="0"/>
              <w:spacing w:line="360" w:lineRule="auto"/>
              <w:ind w:firstLine="480"/>
              <w:rPr>
                <w:rFonts w:ascii="宋体" w:hAnsi="宋体" w:cs="宋体"/>
                <w:sz w:val="21"/>
                <w:szCs w:val="21"/>
              </w:rPr>
            </w:pPr>
            <w:r>
              <w:rPr>
                <w:rFonts w:hint="eastAsia" w:ascii="宋体" w:hAnsi="宋体" w:cs="宋体"/>
                <w:sz w:val="21"/>
                <w:szCs w:val="21"/>
              </w:rPr>
              <w:t>与总经理沟通，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 总经理负责组织对确定的内部和外部因素的相关信息进行监视和评审，以确保质量管理体系与公司的战略方向一致，并实现其预期的结果。</w:t>
            </w:r>
          </w:p>
        </w:tc>
        <w:tc>
          <w:tcPr>
            <w:tcW w:w="752" w:type="dxa"/>
          </w:tcPr>
          <w:p>
            <w:pPr>
              <w:spacing w:line="360" w:lineRule="auto"/>
              <w:rPr>
                <w:rFonts w:ascii="宋体" w:hAnsi="宋体" w:cs="宋体"/>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23" w:type="dxa"/>
          </w:tcPr>
          <w:p>
            <w:pPr>
              <w:spacing w:line="360" w:lineRule="auto"/>
              <w:rPr>
                <w:rFonts w:ascii="宋体" w:hAnsi="宋体" w:cs="宋体"/>
                <w:sz w:val="21"/>
                <w:szCs w:val="21"/>
              </w:rPr>
            </w:pPr>
            <w:r>
              <w:rPr>
                <w:rFonts w:hint="eastAsia" w:ascii="宋体" w:hAnsi="宋体" w:cs="宋体"/>
                <w:sz w:val="21"/>
                <w:szCs w:val="21"/>
              </w:rPr>
              <w:t>理解相关方的需求和期望</w:t>
            </w:r>
          </w:p>
          <w:p>
            <w:pPr>
              <w:spacing w:line="360" w:lineRule="auto"/>
              <w:rPr>
                <w:sz w:val="21"/>
                <w:szCs w:val="21"/>
              </w:rPr>
            </w:pPr>
          </w:p>
        </w:tc>
        <w:tc>
          <w:tcPr>
            <w:tcW w:w="1149" w:type="dxa"/>
          </w:tcPr>
          <w:p>
            <w:pPr>
              <w:spacing w:line="360" w:lineRule="auto"/>
              <w:rPr>
                <w:rFonts w:ascii="宋体" w:hAnsi="宋体" w:cs="宋体"/>
                <w:sz w:val="21"/>
                <w:szCs w:val="21"/>
              </w:rPr>
            </w:pPr>
            <w:r>
              <w:rPr>
                <w:rFonts w:hint="eastAsia" w:ascii="宋体" w:hAnsi="宋体" w:cs="宋体"/>
                <w:sz w:val="21"/>
                <w:szCs w:val="21"/>
                <w:lang w:eastAsia="zh-CN"/>
              </w:rPr>
              <w:t>Q</w:t>
            </w:r>
            <w:r>
              <w:rPr>
                <w:rFonts w:hint="eastAsia" w:ascii="宋体" w:hAnsi="宋体" w:cs="宋体"/>
                <w:sz w:val="21"/>
                <w:szCs w:val="21"/>
              </w:rPr>
              <w:t>4.2</w:t>
            </w:r>
          </w:p>
          <w:p>
            <w:pPr>
              <w:spacing w:line="360" w:lineRule="auto"/>
              <w:rPr>
                <w:sz w:val="21"/>
                <w:szCs w:val="21"/>
              </w:rPr>
            </w:pPr>
          </w:p>
        </w:tc>
        <w:tc>
          <w:tcPr>
            <w:tcW w:w="10785"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总经理及管理层在考虑相关方对公司提供符合顾客要求和适用法律法规要求的产品和服务的能力产生影响或潜在影响时，结合公司的实际情况，确定与</w:t>
            </w:r>
            <w:r>
              <w:rPr>
                <w:rFonts w:hint="eastAsia" w:ascii="宋体" w:hAnsi="宋体" w:cs="宋体"/>
                <w:sz w:val="21"/>
                <w:szCs w:val="21"/>
                <w:lang w:eastAsia="zh-CN"/>
              </w:rPr>
              <w:t>质量</w:t>
            </w:r>
            <w:r>
              <w:rPr>
                <w:rFonts w:hint="eastAsia" w:ascii="宋体" w:hAnsi="宋体" w:cs="宋体"/>
                <w:sz w:val="21"/>
                <w:szCs w:val="21"/>
              </w:rPr>
              <w:t>管理体系有关的相关方，并确定其要求。公司按照管理手册要求对相关方的需求和期望进行管理，以理解相关方的需求和期望以便帮助本公司更好的建立清晰的方针和目标，做到目的明确；由于相关方对组织持续提供符合顾客要求和适用法律法规要求的产品和服务的能力产生影响或潜在影响，因此，公司确定了：</w:t>
            </w:r>
            <w:bookmarkStart w:id="0" w:name="_Toc475019994"/>
            <w:bookmarkStart w:id="1" w:name="_Toc475020125"/>
            <w:r>
              <w:rPr>
                <w:rFonts w:hint="eastAsia" w:ascii="宋体" w:hAnsi="宋体" w:cs="宋体"/>
                <w:sz w:val="21"/>
                <w:szCs w:val="21"/>
              </w:rPr>
              <w:t>与</w:t>
            </w:r>
            <w:r>
              <w:rPr>
                <w:rFonts w:hint="eastAsia" w:ascii="宋体" w:hAnsi="宋体" w:cs="宋体"/>
                <w:sz w:val="21"/>
                <w:szCs w:val="21"/>
                <w:lang w:eastAsia="zh-CN"/>
              </w:rPr>
              <w:t>质量</w:t>
            </w:r>
            <w:r>
              <w:rPr>
                <w:rFonts w:hint="eastAsia" w:ascii="宋体" w:hAnsi="宋体" w:cs="宋体"/>
                <w:sz w:val="21"/>
                <w:szCs w:val="21"/>
              </w:rPr>
              <w:t>管理体系有关的相关方</w:t>
            </w:r>
            <w:bookmarkEnd w:id="0"/>
            <w:bookmarkEnd w:id="1"/>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公司的相关方包括：顾客、员工、银行、外部供应商、雇员及其他为组织工作者、法律法规及监管机关、非政府组织等。</w:t>
            </w:r>
          </w:p>
          <w:p>
            <w:pPr>
              <w:spacing w:line="360" w:lineRule="auto"/>
              <w:ind w:firstLine="420" w:firstLineChars="200"/>
              <w:rPr>
                <w:sz w:val="21"/>
                <w:szCs w:val="21"/>
              </w:rPr>
            </w:pPr>
            <w:r>
              <w:rPr>
                <w:rFonts w:hint="eastAsia" w:ascii="宋体" w:hAnsi="宋体" w:cs="宋体"/>
                <w:sz w:val="21"/>
                <w:szCs w:val="21"/>
              </w:rPr>
              <w:t>公司对这些相关方及其要求的相关信息进行监视和评审，理解和持续满足相关方的需求和期望。</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23" w:type="dxa"/>
          </w:tcPr>
          <w:p>
            <w:pPr>
              <w:spacing w:line="360" w:lineRule="auto"/>
              <w:rPr>
                <w:rFonts w:ascii="宋体" w:hAnsi="宋体" w:cs="宋体"/>
                <w:sz w:val="21"/>
                <w:szCs w:val="21"/>
              </w:rPr>
            </w:pPr>
            <w:r>
              <w:rPr>
                <w:rFonts w:hint="eastAsia" w:ascii="宋体" w:hAnsi="宋体" w:cs="宋体"/>
                <w:sz w:val="21"/>
                <w:szCs w:val="21"/>
              </w:rPr>
              <w:t>确定管理体系的范围</w:t>
            </w:r>
          </w:p>
          <w:p>
            <w:pPr>
              <w:spacing w:line="360" w:lineRule="auto"/>
              <w:rPr>
                <w:sz w:val="21"/>
                <w:szCs w:val="21"/>
              </w:rPr>
            </w:pPr>
          </w:p>
        </w:tc>
        <w:tc>
          <w:tcPr>
            <w:tcW w:w="1149" w:type="dxa"/>
          </w:tcPr>
          <w:p>
            <w:pPr>
              <w:spacing w:line="360" w:lineRule="auto"/>
              <w:rPr>
                <w:rFonts w:ascii="宋体" w:hAnsi="宋体" w:cs="宋体"/>
                <w:sz w:val="21"/>
                <w:szCs w:val="21"/>
              </w:rPr>
            </w:pPr>
            <w:r>
              <w:rPr>
                <w:rFonts w:hint="eastAsia" w:ascii="宋体" w:hAnsi="宋体" w:cs="宋体"/>
                <w:sz w:val="21"/>
                <w:szCs w:val="21"/>
                <w:lang w:eastAsia="zh-CN"/>
              </w:rPr>
              <w:t>Q</w:t>
            </w:r>
            <w:r>
              <w:rPr>
                <w:rFonts w:hint="eastAsia" w:ascii="宋体" w:hAnsi="宋体" w:cs="宋体"/>
                <w:sz w:val="21"/>
                <w:szCs w:val="21"/>
              </w:rPr>
              <w:t>4.3</w:t>
            </w:r>
          </w:p>
          <w:p>
            <w:pPr>
              <w:spacing w:line="360" w:lineRule="auto"/>
              <w:rPr>
                <w:sz w:val="21"/>
                <w:szCs w:val="21"/>
              </w:rPr>
            </w:pPr>
          </w:p>
        </w:tc>
        <w:tc>
          <w:tcPr>
            <w:tcW w:w="10785"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公司管理体系范围为：</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Q：球墨铸铁井盖的加工及销售</w:t>
            </w:r>
          </w:p>
          <w:p>
            <w:pPr>
              <w:spacing w:line="360" w:lineRule="auto"/>
              <w:ind w:firstLine="420" w:firstLineChars="200"/>
              <w:rPr>
                <w:rFonts w:ascii="宋体" w:hAnsi="宋体" w:cs="宋体"/>
                <w:sz w:val="21"/>
                <w:szCs w:val="21"/>
              </w:rPr>
            </w:pPr>
            <w:r>
              <w:rPr>
                <w:rFonts w:hint="eastAsia" w:ascii="宋体" w:hAnsi="宋体" w:cs="宋体"/>
                <w:sz w:val="21"/>
                <w:szCs w:val="21"/>
              </w:rPr>
              <w:t>不适用ISO9001：2015标准8.3条款，公司依据客户要求和成熟的工艺进行生产，不存在产品和服务的设计和开发过程，故删除ISO9001:2015标准8.3条款，删减此条款不影响公司遵守法规要求和提供客户需求能力的满足；根据公司产品和服务特点，标准除8.3条款以外的所有条款均适用于公司并决定全部予以实施。</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023" w:type="dxa"/>
          </w:tcPr>
          <w:p>
            <w:pPr>
              <w:spacing w:line="360" w:lineRule="auto"/>
              <w:rPr>
                <w:rFonts w:ascii="宋体" w:hAnsi="宋体" w:cs="宋体"/>
                <w:sz w:val="21"/>
                <w:szCs w:val="21"/>
              </w:rPr>
            </w:pPr>
            <w:r>
              <w:rPr>
                <w:rFonts w:hint="eastAsia" w:ascii="宋体" w:hAnsi="宋体" w:cs="宋体"/>
                <w:sz w:val="21"/>
                <w:szCs w:val="21"/>
              </w:rPr>
              <w:t>管理体系及其过程</w:t>
            </w:r>
          </w:p>
          <w:p>
            <w:pPr>
              <w:spacing w:line="360" w:lineRule="auto"/>
              <w:rPr>
                <w:sz w:val="21"/>
                <w:szCs w:val="21"/>
              </w:rPr>
            </w:pPr>
          </w:p>
        </w:tc>
        <w:tc>
          <w:tcPr>
            <w:tcW w:w="1149" w:type="dxa"/>
          </w:tcPr>
          <w:p>
            <w:pPr>
              <w:spacing w:line="360" w:lineRule="auto"/>
              <w:rPr>
                <w:rFonts w:ascii="宋体" w:hAnsi="宋体" w:cs="宋体"/>
                <w:sz w:val="21"/>
                <w:szCs w:val="21"/>
              </w:rPr>
            </w:pPr>
            <w:r>
              <w:rPr>
                <w:rFonts w:hint="eastAsia" w:ascii="宋体" w:hAnsi="宋体" w:cs="宋体"/>
                <w:sz w:val="21"/>
                <w:szCs w:val="21"/>
                <w:lang w:eastAsia="zh-CN"/>
              </w:rPr>
              <w:t>Q</w:t>
            </w:r>
            <w:r>
              <w:rPr>
                <w:rFonts w:hint="eastAsia" w:ascii="宋体" w:hAnsi="宋体" w:cs="宋体"/>
                <w:sz w:val="21"/>
                <w:szCs w:val="21"/>
              </w:rPr>
              <w:t>4.4</w:t>
            </w:r>
          </w:p>
          <w:p>
            <w:pPr>
              <w:spacing w:line="360" w:lineRule="auto"/>
              <w:rPr>
                <w:sz w:val="21"/>
                <w:szCs w:val="21"/>
              </w:rPr>
            </w:pPr>
          </w:p>
        </w:tc>
        <w:tc>
          <w:tcPr>
            <w:tcW w:w="10785" w:type="dxa"/>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rPr>
              <w:t>该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2022年1月～2022年</w:t>
            </w:r>
            <w:r>
              <w:rPr>
                <w:rFonts w:hint="eastAsia" w:ascii="宋体" w:hAnsi="宋体" w:cs="宋体"/>
                <w:sz w:val="21"/>
                <w:szCs w:val="21"/>
                <w:lang w:val="en-US" w:eastAsia="zh-CN"/>
              </w:rPr>
              <w:t>11</w:t>
            </w:r>
            <w:r>
              <w:rPr>
                <w:rFonts w:hint="eastAsia" w:ascii="宋体" w:hAnsi="宋体" w:cs="宋体"/>
                <w:sz w:val="21"/>
                <w:szCs w:val="21"/>
              </w:rPr>
              <w:t>月管理目标分解及完成情况记录。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与负责人交流：部门确定了满足与管理体系有关的客户及相关方的要求。</w:t>
            </w:r>
          </w:p>
          <w:p>
            <w:pPr>
              <w:spacing w:line="360" w:lineRule="auto"/>
              <w:ind w:firstLine="420" w:firstLineChars="200"/>
              <w:rPr>
                <w:rFonts w:ascii="宋体" w:hAnsi="宋体" w:cs="宋体"/>
                <w:sz w:val="21"/>
                <w:szCs w:val="21"/>
              </w:rPr>
            </w:pPr>
            <w:r>
              <w:rPr>
                <w:rFonts w:hint="eastAsia" w:ascii="宋体" w:hAnsi="宋体" w:cs="宋体"/>
                <w:sz w:val="21"/>
                <w:szCs w:val="21"/>
              </w:rPr>
              <w:t>为能在公司范围内更好的应用</w:t>
            </w:r>
            <w:r>
              <w:rPr>
                <w:rFonts w:hint="eastAsia" w:ascii="宋体" w:hAnsi="宋体" w:cs="宋体"/>
                <w:sz w:val="21"/>
                <w:szCs w:val="21"/>
                <w:lang w:eastAsia="zh-CN"/>
              </w:rPr>
              <w:t>质量</w:t>
            </w:r>
            <w:r>
              <w:rPr>
                <w:rFonts w:hint="eastAsia" w:ascii="宋体" w:hAnsi="宋体" w:cs="宋体"/>
                <w:sz w:val="21"/>
                <w:szCs w:val="21"/>
              </w:rPr>
              <w:t>管理体系及其过程方法，编制有《管理手册》，作为公司质量管理的纲领性文件；编制有《程序文件》，说明本公司内部</w:t>
            </w:r>
            <w:r>
              <w:rPr>
                <w:rFonts w:hint="eastAsia" w:ascii="宋体" w:hAnsi="宋体" w:cs="宋体"/>
                <w:sz w:val="21"/>
                <w:szCs w:val="21"/>
                <w:lang w:eastAsia="zh-CN"/>
              </w:rPr>
              <w:t>质量</w:t>
            </w:r>
            <w:r>
              <w:rPr>
                <w:rFonts w:hint="eastAsia" w:ascii="宋体" w:hAnsi="宋体" w:cs="宋体"/>
                <w:sz w:val="21"/>
                <w:szCs w:val="21"/>
              </w:rPr>
              <w:t>体系运行的各过程及其之间的顺序和相互作用；编制各类支持性文件及记录表格等作为证明过程运行的证据。</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023" w:type="dxa"/>
          </w:tcPr>
          <w:p>
            <w:pPr>
              <w:spacing w:line="360" w:lineRule="auto"/>
              <w:rPr>
                <w:rFonts w:ascii="宋体" w:hAnsi="宋体" w:cs="宋体"/>
                <w:sz w:val="21"/>
                <w:szCs w:val="21"/>
              </w:rPr>
            </w:pPr>
            <w:r>
              <w:rPr>
                <w:rFonts w:hint="eastAsia" w:ascii="宋体" w:hAnsi="宋体" w:cs="宋体"/>
                <w:sz w:val="21"/>
                <w:szCs w:val="21"/>
              </w:rPr>
              <w:t>领导作用与承诺</w:t>
            </w:r>
          </w:p>
          <w:p>
            <w:pPr>
              <w:spacing w:line="360" w:lineRule="auto"/>
              <w:rPr>
                <w:sz w:val="21"/>
                <w:szCs w:val="21"/>
              </w:rPr>
            </w:pPr>
          </w:p>
        </w:tc>
        <w:tc>
          <w:tcPr>
            <w:tcW w:w="1149" w:type="dxa"/>
          </w:tcPr>
          <w:p>
            <w:pPr>
              <w:spacing w:line="360" w:lineRule="auto"/>
              <w:rPr>
                <w:rFonts w:ascii="宋体" w:hAnsi="宋体" w:cs="宋体"/>
                <w:sz w:val="21"/>
                <w:szCs w:val="21"/>
              </w:rPr>
            </w:pPr>
            <w:r>
              <w:rPr>
                <w:rFonts w:hint="eastAsia" w:ascii="宋体" w:hAnsi="宋体" w:cs="宋体"/>
                <w:sz w:val="21"/>
                <w:szCs w:val="21"/>
                <w:lang w:eastAsia="zh-CN"/>
              </w:rPr>
              <w:t>Q</w:t>
            </w:r>
            <w:r>
              <w:rPr>
                <w:rFonts w:hint="eastAsia" w:ascii="宋体" w:hAnsi="宋体" w:cs="宋体"/>
                <w:sz w:val="21"/>
                <w:szCs w:val="21"/>
              </w:rPr>
              <w:t>5.1</w:t>
            </w:r>
          </w:p>
          <w:p>
            <w:pPr>
              <w:spacing w:line="360" w:lineRule="auto"/>
              <w:rPr>
                <w:sz w:val="21"/>
                <w:szCs w:val="21"/>
              </w:rPr>
            </w:pPr>
          </w:p>
        </w:tc>
        <w:tc>
          <w:tcPr>
            <w:tcW w:w="10785"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公司最高管理者介绍主要承诺有：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a) 对质量管理体系的有效性承担责任；</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b) 确保制定质量管理体系的质量方针和质量目标，并与公司环境和战略方向相一致；</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c) 确保质量管理体系要求融入与公司的业务过程；</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d) 促进使用过程方法和基于风险的思维；</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e) 确保获得质量管理体系所需的资源；</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f) 沟通有效的质量管理和符合质量管理体系要求的重要性；</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g) 确保实现质量管理体系的预期结果；</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h) 促使、指导和支持员工努力提高质量管理体系的有效性；</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i) 推动改进；</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j) 支持其他管理者履行其相关领域的职责。</w:t>
            </w:r>
          </w:p>
          <w:p>
            <w:pPr>
              <w:spacing w:line="360" w:lineRule="auto"/>
              <w:ind w:firstLine="420" w:firstLineChars="200"/>
              <w:rPr>
                <w:rFonts w:ascii="宋体" w:hAnsi="宋体" w:cs="宋体"/>
                <w:sz w:val="21"/>
                <w:szCs w:val="21"/>
              </w:rPr>
            </w:pPr>
            <w:r>
              <w:rPr>
                <w:rFonts w:hint="eastAsia" w:ascii="宋体" w:hAnsi="宋体" w:cs="宋体"/>
                <w:sz w:val="21"/>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rPr>
                <w:sz w:val="21"/>
                <w:szCs w:val="21"/>
              </w:rPr>
            </w:pPr>
            <w:r>
              <w:rPr>
                <w:rFonts w:hint="eastAsia" w:ascii="宋体" w:hAnsi="宋体" w:cs="宋体"/>
                <w:sz w:val="21"/>
                <w:szCs w:val="21"/>
              </w:rPr>
              <w:t>承诺基本实现，没有违反的情况发生。</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23" w:type="dxa"/>
          </w:tcPr>
          <w:p>
            <w:pPr>
              <w:spacing w:line="360" w:lineRule="auto"/>
              <w:rPr>
                <w:rFonts w:ascii="宋体" w:hAnsi="宋体" w:cs="宋体"/>
                <w:sz w:val="21"/>
                <w:szCs w:val="21"/>
              </w:rPr>
            </w:pPr>
            <w:r>
              <w:rPr>
                <w:rFonts w:hint="eastAsia" w:ascii="宋体" w:hAnsi="宋体" w:cs="宋体"/>
                <w:sz w:val="21"/>
                <w:szCs w:val="21"/>
              </w:rPr>
              <w:t>方针</w:t>
            </w:r>
          </w:p>
          <w:p>
            <w:pPr>
              <w:spacing w:line="360" w:lineRule="auto"/>
              <w:rPr>
                <w:rFonts w:ascii="宋体" w:hAnsi="宋体" w:cs="宋体"/>
                <w:sz w:val="21"/>
                <w:szCs w:val="21"/>
              </w:rPr>
            </w:pPr>
            <w:r>
              <w:rPr>
                <w:rFonts w:hint="eastAsia" w:ascii="宋体" w:hAnsi="宋体" w:cs="宋体"/>
                <w:sz w:val="21"/>
                <w:szCs w:val="21"/>
              </w:rPr>
              <w:t>制定方针</w:t>
            </w:r>
          </w:p>
          <w:p>
            <w:pPr>
              <w:spacing w:line="360" w:lineRule="auto"/>
              <w:rPr>
                <w:sz w:val="21"/>
                <w:szCs w:val="21"/>
              </w:rPr>
            </w:pPr>
            <w:r>
              <w:rPr>
                <w:rFonts w:hint="eastAsia" w:ascii="宋体" w:hAnsi="宋体" w:cs="宋体"/>
                <w:sz w:val="21"/>
                <w:szCs w:val="21"/>
              </w:rPr>
              <w:t>沟通方针</w:t>
            </w:r>
          </w:p>
        </w:tc>
        <w:tc>
          <w:tcPr>
            <w:tcW w:w="1149" w:type="dxa"/>
          </w:tcPr>
          <w:p>
            <w:pPr>
              <w:spacing w:line="360" w:lineRule="auto"/>
              <w:rPr>
                <w:rFonts w:ascii="宋体" w:hAnsi="宋体" w:cs="宋体"/>
                <w:sz w:val="21"/>
                <w:szCs w:val="21"/>
              </w:rPr>
            </w:pPr>
            <w:r>
              <w:rPr>
                <w:rFonts w:hint="eastAsia" w:ascii="宋体" w:hAnsi="宋体" w:cs="宋体"/>
                <w:sz w:val="21"/>
                <w:szCs w:val="21"/>
                <w:lang w:eastAsia="zh-CN"/>
              </w:rPr>
              <w:t>Q</w:t>
            </w:r>
            <w:r>
              <w:rPr>
                <w:rFonts w:hint="eastAsia" w:ascii="宋体" w:hAnsi="宋体" w:cs="宋体"/>
                <w:sz w:val="21"/>
                <w:szCs w:val="21"/>
              </w:rPr>
              <w:t>5.2</w:t>
            </w:r>
          </w:p>
          <w:p>
            <w:pPr>
              <w:snapToGrid w:val="0"/>
              <w:spacing w:line="360" w:lineRule="auto"/>
              <w:rPr>
                <w:sz w:val="21"/>
                <w:szCs w:val="21"/>
              </w:rPr>
            </w:pPr>
          </w:p>
          <w:p>
            <w:pPr>
              <w:spacing w:line="360" w:lineRule="auto"/>
              <w:rPr>
                <w:rFonts w:ascii="宋体" w:hAnsi="宋体" w:cs="宋体"/>
                <w:sz w:val="21"/>
                <w:szCs w:val="21"/>
              </w:rPr>
            </w:pPr>
          </w:p>
          <w:p>
            <w:pPr>
              <w:spacing w:line="360" w:lineRule="auto"/>
              <w:rPr>
                <w:sz w:val="21"/>
                <w:szCs w:val="21"/>
              </w:rPr>
            </w:pPr>
          </w:p>
        </w:tc>
        <w:tc>
          <w:tcPr>
            <w:tcW w:w="10785"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该公司</w:t>
            </w:r>
            <w:r>
              <w:rPr>
                <w:rFonts w:hint="eastAsia" w:ascii="宋体" w:hAnsi="宋体" w:cs="宋体"/>
                <w:sz w:val="21"/>
                <w:szCs w:val="21"/>
                <w:lang w:eastAsia="zh-CN"/>
              </w:rPr>
              <w:t>质量</w:t>
            </w:r>
            <w:r>
              <w:rPr>
                <w:rFonts w:hint="eastAsia" w:ascii="宋体" w:hAnsi="宋体" w:cs="宋体"/>
                <w:sz w:val="21"/>
                <w:szCs w:val="21"/>
              </w:rPr>
              <w:t>方针：</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品质第一、安全环保；恪守信誉、持续改进。</w:t>
            </w:r>
          </w:p>
          <w:p>
            <w:pPr>
              <w:spacing w:line="360" w:lineRule="auto"/>
              <w:ind w:firstLine="420" w:firstLineChars="200"/>
              <w:rPr>
                <w:rFonts w:ascii="宋体" w:hAnsi="宋体" w:cs="宋体"/>
                <w:sz w:val="21"/>
                <w:szCs w:val="21"/>
              </w:rPr>
            </w:pPr>
            <w:r>
              <w:rPr>
                <w:rFonts w:hint="eastAsia" w:ascii="宋体" w:hAnsi="宋体" w:cs="宋体"/>
                <w:sz w:val="21"/>
                <w:szCs w:val="21"/>
              </w:rPr>
              <w:t>公司以</w:t>
            </w:r>
            <w:r>
              <w:rPr>
                <w:rFonts w:hint="eastAsia" w:ascii="宋体" w:hAnsi="宋体" w:cs="宋体"/>
                <w:sz w:val="21"/>
                <w:szCs w:val="21"/>
                <w:lang w:eastAsia="zh-CN"/>
              </w:rPr>
              <w:t>质量</w:t>
            </w:r>
            <w:r>
              <w:rPr>
                <w:rFonts w:hint="eastAsia" w:ascii="宋体" w:hAnsi="宋体" w:cs="宋体"/>
                <w:sz w:val="21"/>
                <w:szCs w:val="21"/>
              </w:rPr>
              <w:t>标准为基础，结合公司实际特制定管理方针。与总经理进行交谈，总经理</w:t>
            </w:r>
            <w:r>
              <w:rPr>
                <w:rFonts w:hint="eastAsia" w:ascii="宋体" w:hAnsi="宋体" w:cs="宋体"/>
                <w:sz w:val="21"/>
                <w:szCs w:val="21"/>
                <w:lang w:eastAsia="zh-CN"/>
              </w:rPr>
              <w:t>胡金亮</w:t>
            </w:r>
            <w:r>
              <w:rPr>
                <w:rFonts w:hint="eastAsia" w:ascii="宋体" w:hAnsi="宋体" w:cs="宋体"/>
                <w:sz w:val="21"/>
                <w:szCs w:val="21"/>
              </w:rPr>
              <w:t>对方针内涵的理解较深刻。方针能为制定目标提供框架，方针基本符合标准的要求。</w:t>
            </w:r>
          </w:p>
          <w:p>
            <w:pPr>
              <w:spacing w:line="360" w:lineRule="auto"/>
              <w:ind w:firstLine="420" w:firstLineChars="200"/>
              <w:rPr>
                <w:rFonts w:ascii="宋体" w:hAnsi="宋体" w:cs="宋体"/>
                <w:sz w:val="21"/>
                <w:szCs w:val="21"/>
              </w:rPr>
            </w:pPr>
            <w:r>
              <w:rPr>
                <w:rFonts w:hint="eastAsia" w:ascii="宋体" w:hAnsi="宋体" w:cs="宋体"/>
                <w:sz w:val="21"/>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 w:val="21"/>
                <w:szCs w:val="21"/>
              </w:rPr>
            </w:pPr>
            <w:r>
              <w:rPr>
                <w:rFonts w:hint="eastAsia" w:ascii="宋体" w:hAnsi="宋体" w:cs="宋体"/>
                <w:sz w:val="21"/>
                <w:szCs w:val="21"/>
              </w:rPr>
              <w:t>以上管理方针通过文件、培训等形式将公司管理方针传达给所有为公司工作或代表公司的人员，相关方也可通过</w:t>
            </w:r>
            <w:r>
              <w:rPr>
                <w:rFonts w:hint="eastAsia" w:ascii="宋体" w:hAnsi="宋体" w:cs="宋体"/>
                <w:sz w:val="21"/>
                <w:szCs w:val="21"/>
                <w:lang w:eastAsia="zh-CN"/>
              </w:rPr>
              <w:t>行政部</w:t>
            </w:r>
            <w:r>
              <w:rPr>
                <w:rFonts w:hint="eastAsia" w:ascii="宋体" w:hAnsi="宋体" w:cs="宋体"/>
                <w:sz w:val="21"/>
                <w:szCs w:val="21"/>
              </w:rPr>
              <w:t>获取公司管理方针。</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tcPr>
          <w:p>
            <w:pPr>
              <w:spacing w:line="360" w:lineRule="auto"/>
              <w:rPr>
                <w:rFonts w:ascii="宋体" w:hAnsi="宋体" w:cs="宋体"/>
                <w:sz w:val="21"/>
                <w:szCs w:val="21"/>
              </w:rPr>
            </w:pPr>
            <w:r>
              <w:rPr>
                <w:rFonts w:hint="eastAsia" w:ascii="宋体" w:hAnsi="宋体" w:cs="宋体"/>
                <w:sz w:val="21"/>
                <w:szCs w:val="21"/>
              </w:rPr>
              <w:t>组织的岗位、职责和权限</w:t>
            </w:r>
          </w:p>
          <w:p>
            <w:pPr>
              <w:spacing w:line="360" w:lineRule="auto"/>
              <w:rPr>
                <w:rFonts w:ascii="宋体" w:hAnsi="宋体" w:cs="宋体"/>
                <w:sz w:val="21"/>
                <w:szCs w:val="21"/>
              </w:rPr>
            </w:pPr>
          </w:p>
        </w:tc>
        <w:tc>
          <w:tcPr>
            <w:tcW w:w="1149" w:type="dxa"/>
          </w:tcPr>
          <w:p>
            <w:pPr>
              <w:spacing w:line="360" w:lineRule="auto"/>
              <w:rPr>
                <w:rFonts w:ascii="宋体" w:cs="宋体"/>
                <w:sz w:val="21"/>
                <w:szCs w:val="21"/>
              </w:rPr>
            </w:pPr>
            <w:r>
              <w:rPr>
                <w:rFonts w:hint="eastAsia" w:ascii="宋体" w:cs="宋体"/>
                <w:sz w:val="21"/>
                <w:szCs w:val="21"/>
                <w:lang w:eastAsia="zh-CN"/>
              </w:rPr>
              <w:t>Q</w:t>
            </w:r>
            <w:r>
              <w:rPr>
                <w:rFonts w:ascii="宋体" w:cs="宋体"/>
                <w:sz w:val="21"/>
                <w:szCs w:val="21"/>
              </w:rPr>
              <w:t>5.3</w:t>
            </w:r>
          </w:p>
          <w:p>
            <w:pPr>
              <w:spacing w:line="360" w:lineRule="auto"/>
              <w:rPr>
                <w:sz w:val="21"/>
                <w:szCs w:val="21"/>
              </w:rPr>
            </w:pPr>
          </w:p>
        </w:tc>
        <w:tc>
          <w:tcPr>
            <w:tcW w:w="10785" w:type="dxa"/>
            <w:vAlign w:val="center"/>
          </w:tcPr>
          <w:p>
            <w:pPr>
              <w:spacing w:line="360" w:lineRule="auto"/>
              <w:ind w:firstLine="420" w:firstLineChars="200"/>
              <w:rPr>
                <w:sz w:val="21"/>
                <w:szCs w:val="21"/>
              </w:rPr>
            </w:pPr>
            <w:r>
              <w:rPr>
                <w:rFonts w:hint="eastAsia"/>
                <w:sz w:val="21"/>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sz w:val="21"/>
                <w:szCs w:val="21"/>
                <w:lang w:val="en-US" w:eastAsia="zh-CN"/>
              </w:rPr>
              <w:t>范成意</w:t>
            </w:r>
            <w:r>
              <w:rPr>
                <w:rFonts w:hint="eastAsia"/>
                <w:sz w:val="21"/>
                <w:szCs w:val="21"/>
              </w:rPr>
              <w:t>为管理体系的管理者代表。其职责和权限规定如下：</w:t>
            </w:r>
          </w:p>
          <w:p>
            <w:pPr>
              <w:spacing w:line="360" w:lineRule="auto"/>
              <w:ind w:firstLine="420" w:firstLineChars="200"/>
              <w:rPr>
                <w:rFonts w:hint="eastAsia"/>
                <w:sz w:val="21"/>
                <w:szCs w:val="21"/>
              </w:rPr>
            </w:pPr>
            <w:r>
              <w:rPr>
                <w:rFonts w:hint="eastAsia"/>
                <w:sz w:val="21"/>
                <w:szCs w:val="21"/>
              </w:rPr>
              <w:t>1）确保质量管理体系所需过程得到建立、实施和保持；</w:t>
            </w:r>
          </w:p>
          <w:p>
            <w:pPr>
              <w:spacing w:line="360" w:lineRule="auto"/>
              <w:ind w:firstLine="420" w:firstLineChars="200"/>
              <w:rPr>
                <w:rFonts w:hint="eastAsia"/>
                <w:sz w:val="21"/>
                <w:szCs w:val="21"/>
              </w:rPr>
            </w:pPr>
            <w:r>
              <w:rPr>
                <w:rFonts w:hint="eastAsia"/>
                <w:sz w:val="21"/>
                <w:szCs w:val="21"/>
              </w:rPr>
              <w:t>2）向总经理报告质量管理体系的绩效和任何改进的需求；</w:t>
            </w:r>
          </w:p>
          <w:p>
            <w:pPr>
              <w:spacing w:line="360" w:lineRule="auto"/>
              <w:ind w:firstLine="420" w:firstLineChars="200"/>
              <w:rPr>
                <w:rFonts w:hint="eastAsia"/>
                <w:sz w:val="21"/>
                <w:szCs w:val="21"/>
              </w:rPr>
            </w:pPr>
            <w:r>
              <w:rPr>
                <w:rFonts w:hint="eastAsia"/>
                <w:sz w:val="21"/>
                <w:szCs w:val="21"/>
              </w:rPr>
              <w:t>3）确保在公司内提高满足顾客要求的意识；</w:t>
            </w:r>
          </w:p>
          <w:p>
            <w:pPr>
              <w:spacing w:line="360" w:lineRule="auto"/>
              <w:ind w:firstLine="420" w:firstLineChars="200"/>
              <w:rPr>
                <w:rFonts w:hint="eastAsia"/>
                <w:sz w:val="21"/>
                <w:szCs w:val="21"/>
              </w:rPr>
            </w:pPr>
            <w:r>
              <w:rPr>
                <w:rFonts w:hint="eastAsia"/>
                <w:sz w:val="21"/>
                <w:szCs w:val="21"/>
              </w:rPr>
              <w:t>4）任何与质量管理体系有关事宜的外部联系。</w:t>
            </w:r>
          </w:p>
          <w:p>
            <w:pPr>
              <w:spacing w:line="360" w:lineRule="auto"/>
              <w:ind w:firstLine="420" w:firstLineChars="200"/>
              <w:rPr>
                <w:sz w:val="21"/>
                <w:szCs w:val="21"/>
              </w:rPr>
            </w:pPr>
            <w:r>
              <w:rPr>
                <w:rFonts w:hint="eastAsia"/>
                <w:sz w:val="21"/>
                <w:szCs w:val="21"/>
              </w:rPr>
              <w:t>询问管代</w:t>
            </w:r>
            <w:r>
              <w:rPr>
                <w:rFonts w:hint="eastAsia"/>
                <w:sz w:val="21"/>
                <w:szCs w:val="21"/>
                <w:lang w:val="en-US" w:eastAsia="zh-CN"/>
              </w:rPr>
              <w:t>范成意</w:t>
            </w:r>
            <w:r>
              <w:rPr>
                <w:rFonts w:hint="eastAsia"/>
                <w:sz w:val="21"/>
                <w:szCs w:val="21"/>
              </w:rPr>
              <w:t>职责回答正确。</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23" w:type="dxa"/>
          </w:tcPr>
          <w:p>
            <w:pPr>
              <w:spacing w:line="360" w:lineRule="auto"/>
              <w:rPr>
                <w:rFonts w:ascii="宋体" w:hAnsi="宋体" w:cs="宋体"/>
                <w:sz w:val="21"/>
                <w:szCs w:val="21"/>
              </w:rPr>
            </w:pPr>
            <w:r>
              <w:rPr>
                <w:rFonts w:hint="eastAsia" w:ascii="宋体" w:hAnsi="宋体" w:cs="宋体"/>
                <w:sz w:val="21"/>
                <w:szCs w:val="21"/>
              </w:rPr>
              <w:t>应对风险和机遇的措施</w:t>
            </w:r>
          </w:p>
          <w:p>
            <w:pPr>
              <w:spacing w:line="360" w:lineRule="auto"/>
              <w:rPr>
                <w:rFonts w:ascii="宋体" w:hAnsi="宋体" w:cs="宋体"/>
                <w:sz w:val="21"/>
                <w:szCs w:val="21"/>
              </w:rPr>
            </w:pPr>
          </w:p>
        </w:tc>
        <w:tc>
          <w:tcPr>
            <w:tcW w:w="1149" w:type="dxa"/>
          </w:tcPr>
          <w:p>
            <w:pPr>
              <w:spacing w:line="360" w:lineRule="auto"/>
              <w:rPr>
                <w:rFonts w:ascii="宋体"/>
                <w:sz w:val="21"/>
                <w:szCs w:val="21"/>
              </w:rPr>
            </w:pPr>
            <w:r>
              <w:rPr>
                <w:rFonts w:hint="eastAsia" w:ascii="宋体" w:hAnsi="宋体" w:cs="宋体"/>
                <w:sz w:val="21"/>
                <w:szCs w:val="21"/>
              </w:rPr>
              <w:t>Q6.1</w:t>
            </w:r>
          </w:p>
          <w:p>
            <w:pPr>
              <w:spacing w:line="360" w:lineRule="auto"/>
              <w:rPr>
                <w:rFonts w:ascii="宋体" w:hAnsi="宋体" w:cs="宋体"/>
                <w:sz w:val="21"/>
                <w:szCs w:val="21"/>
              </w:rPr>
            </w:pPr>
          </w:p>
          <w:p>
            <w:pPr>
              <w:spacing w:line="360" w:lineRule="auto"/>
              <w:rPr>
                <w:sz w:val="21"/>
                <w:szCs w:val="21"/>
              </w:rPr>
            </w:pPr>
          </w:p>
        </w:tc>
        <w:tc>
          <w:tcPr>
            <w:tcW w:w="10785" w:type="dxa"/>
            <w:vAlign w:val="center"/>
          </w:tcPr>
          <w:p>
            <w:pPr>
              <w:spacing w:line="360" w:lineRule="auto"/>
              <w:ind w:firstLine="420" w:firstLineChars="200"/>
              <w:rPr>
                <w:sz w:val="21"/>
                <w:szCs w:val="21"/>
              </w:rPr>
            </w:pPr>
            <w:r>
              <w:rPr>
                <w:rFonts w:hint="eastAsia"/>
                <w:sz w:val="21"/>
                <w:szCs w:val="21"/>
              </w:rPr>
              <w:t>企业识别了如下分析：</w:t>
            </w:r>
          </w:p>
          <w:p>
            <w:pPr>
              <w:numPr>
                <w:ilvl w:val="0"/>
                <w:numId w:val="1"/>
              </w:numPr>
              <w:spacing w:line="360" w:lineRule="auto"/>
              <w:ind w:firstLine="420" w:firstLineChars="200"/>
              <w:rPr>
                <w:sz w:val="21"/>
                <w:szCs w:val="21"/>
              </w:rPr>
            </w:pPr>
            <w:r>
              <w:rPr>
                <w:rFonts w:hint="eastAsia"/>
                <w:sz w:val="21"/>
                <w:szCs w:val="21"/>
              </w:rPr>
              <w:t>法律、法规内容的变化：风险：</w:t>
            </w:r>
            <w:r>
              <w:rPr>
                <w:rFonts w:hint="eastAsia" w:ascii="宋体" w:hAnsi="宋体" w:cs="宋体"/>
                <w:sz w:val="21"/>
                <w:szCs w:val="21"/>
              </w:rPr>
              <w:t>对</w:t>
            </w:r>
            <w:r>
              <w:rPr>
                <w:rFonts w:hint="eastAsia" w:ascii="宋体" w:hAnsi="宋体" w:cs="宋体"/>
                <w:sz w:val="21"/>
                <w:szCs w:val="21"/>
                <w:lang w:eastAsia="zh-CN"/>
              </w:rPr>
              <w:t>质量</w:t>
            </w:r>
            <w:r>
              <w:rPr>
                <w:rFonts w:hint="eastAsia" w:ascii="宋体" w:hAnsi="宋体" w:cs="宋体"/>
                <w:sz w:val="21"/>
                <w:szCs w:val="21"/>
              </w:rPr>
              <w:t>相关法规的更新信息了解不够及时、准确。不能转化为公司制度执行，使公司在</w:t>
            </w:r>
            <w:r>
              <w:rPr>
                <w:rFonts w:hint="eastAsia" w:ascii="宋体" w:hAnsi="宋体" w:cs="宋体"/>
                <w:sz w:val="21"/>
                <w:szCs w:val="21"/>
                <w:lang w:eastAsia="zh-CN"/>
              </w:rPr>
              <w:t>质量</w:t>
            </w:r>
            <w:r>
              <w:rPr>
                <w:rFonts w:hint="eastAsia" w:ascii="宋体" w:hAnsi="宋体" w:cs="宋体"/>
                <w:sz w:val="21"/>
                <w:szCs w:val="21"/>
              </w:rPr>
              <w:t>管理方面存在隐患</w:t>
            </w:r>
            <w:r>
              <w:rPr>
                <w:rFonts w:hint="eastAsia"/>
                <w:sz w:val="21"/>
                <w:szCs w:val="21"/>
              </w:rPr>
              <w:t>。 机遇：</w:t>
            </w:r>
            <w:r>
              <w:rPr>
                <w:rFonts w:hint="eastAsia" w:ascii="宋体" w:hAnsi="宋体" w:cs="宋体"/>
                <w:sz w:val="21"/>
                <w:szCs w:val="21"/>
              </w:rPr>
              <w:t>公司遵守</w:t>
            </w:r>
            <w:r>
              <w:rPr>
                <w:rFonts w:hint="eastAsia" w:ascii="宋体" w:hAnsi="宋体" w:cs="宋体"/>
                <w:sz w:val="21"/>
                <w:szCs w:val="21"/>
                <w:lang w:eastAsia="zh-CN"/>
              </w:rPr>
              <w:t>质量</w:t>
            </w:r>
            <w:r>
              <w:rPr>
                <w:rFonts w:hint="eastAsia" w:ascii="宋体" w:hAnsi="宋体" w:cs="宋体"/>
                <w:sz w:val="21"/>
                <w:szCs w:val="21"/>
              </w:rPr>
              <w:t>管理要求，可以切实保障员工</w:t>
            </w:r>
            <w:r>
              <w:rPr>
                <w:rFonts w:hint="eastAsia" w:ascii="宋体" w:hAnsi="宋体" w:cs="宋体"/>
                <w:sz w:val="21"/>
                <w:szCs w:val="21"/>
                <w:lang w:eastAsia="zh-CN"/>
              </w:rPr>
              <w:t>质量</w:t>
            </w:r>
            <w:r>
              <w:rPr>
                <w:rFonts w:hint="eastAsia" w:ascii="宋体" w:hAnsi="宋体" w:cs="宋体"/>
                <w:sz w:val="21"/>
                <w:szCs w:val="21"/>
              </w:rPr>
              <w:t>，树立良好社会形象，提高公司知名度。</w:t>
            </w:r>
          </w:p>
          <w:p>
            <w:pPr>
              <w:numPr>
                <w:ilvl w:val="0"/>
                <w:numId w:val="1"/>
              </w:numPr>
              <w:spacing w:line="360" w:lineRule="auto"/>
              <w:ind w:firstLine="420" w:firstLineChars="200"/>
              <w:rPr>
                <w:sz w:val="21"/>
                <w:szCs w:val="21"/>
              </w:rPr>
            </w:pPr>
            <w:r>
              <w:rPr>
                <w:rFonts w:hint="eastAsia"/>
                <w:sz w:val="21"/>
                <w:szCs w:val="21"/>
              </w:rPr>
              <w:t>技术风险</w:t>
            </w:r>
            <w:r>
              <w:rPr>
                <w:rFonts w:hint="eastAsia" w:ascii="宋体" w:hAnsi="宋体" w:cs="宋体"/>
                <w:sz w:val="21"/>
                <w:szCs w:val="21"/>
              </w:rPr>
              <w:t>公司现有的工艺、生产设备会造成较大的</w:t>
            </w:r>
            <w:r>
              <w:rPr>
                <w:rFonts w:hint="eastAsia" w:ascii="宋体" w:hAnsi="宋体" w:cs="宋体"/>
                <w:sz w:val="21"/>
                <w:szCs w:val="21"/>
                <w:lang w:eastAsia="zh-CN"/>
              </w:rPr>
              <w:t>质量</w:t>
            </w:r>
            <w:r>
              <w:rPr>
                <w:rFonts w:hint="eastAsia" w:ascii="宋体" w:hAnsi="宋体" w:cs="宋体"/>
                <w:sz w:val="21"/>
                <w:szCs w:val="21"/>
              </w:rPr>
              <w:t>风险。</w:t>
            </w:r>
            <w:r>
              <w:rPr>
                <w:rFonts w:hint="eastAsia"/>
                <w:sz w:val="21"/>
                <w:szCs w:val="21"/>
              </w:rPr>
              <w:t>机遇：</w:t>
            </w:r>
            <w:r>
              <w:rPr>
                <w:rFonts w:hint="eastAsia" w:ascii="宋体" w:hAnsi="宋体" w:cs="宋体"/>
                <w:sz w:val="21"/>
                <w:szCs w:val="21"/>
              </w:rPr>
              <w:t>通过引进新的生产设备、改进工艺，提高公司的工艺水平，降低和减少</w:t>
            </w:r>
            <w:r>
              <w:rPr>
                <w:rFonts w:hint="eastAsia" w:ascii="宋体" w:hAnsi="宋体" w:cs="宋体"/>
                <w:sz w:val="21"/>
                <w:szCs w:val="21"/>
                <w:lang w:eastAsia="zh-CN"/>
              </w:rPr>
              <w:t>质量</w:t>
            </w:r>
            <w:r>
              <w:rPr>
                <w:rFonts w:hint="eastAsia" w:ascii="宋体" w:hAnsi="宋体" w:cs="宋体"/>
                <w:sz w:val="21"/>
                <w:szCs w:val="21"/>
              </w:rPr>
              <w:t>风险。</w:t>
            </w:r>
          </w:p>
          <w:p>
            <w:pPr>
              <w:numPr>
                <w:ilvl w:val="0"/>
                <w:numId w:val="1"/>
              </w:numPr>
              <w:spacing w:line="360" w:lineRule="auto"/>
              <w:rPr>
                <w:sz w:val="21"/>
                <w:szCs w:val="21"/>
              </w:rPr>
            </w:pPr>
            <w:r>
              <w:rPr>
                <w:rFonts w:hint="eastAsia"/>
                <w:sz w:val="21"/>
                <w:szCs w:val="21"/>
              </w:rPr>
              <w:t>市场风险：风险：公司为保障</w:t>
            </w:r>
            <w:r>
              <w:rPr>
                <w:rFonts w:hint="eastAsia"/>
                <w:sz w:val="21"/>
                <w:szCs w:val="21"/>
                <w:lang w:eastAsia="zh-CN"/>
              </w:rPr>
              <w:t>质量</w:t>
            </w:r>
            <w:r>
              <w:rPr>
                <w:rFonts w:hint="eastAsia"/>
                <w:sz w:val="21"/>
                <w:szCs w:val="21"/>
              </w:rPr>
              <w:t>管理体系有序运行，需投入大量人力物力财力，间接增加了产品成本，对公司产品的竞争力和价格都产生比较大的压力，市场风险比较大。机遇：因公司推行</w:t>
            </w:r>
            <w:r>
              <w:rPr>
                <w:rFonts w:hint="eastAsia"/>
                <w:sz w:val="21"/>
                <w:szCs w:val="21"/>
                <w:lang w:eastAsia="zh-CN"/>
              </w:rPr>
              <w:t>质量</w:t>
            </w:r>
            <w:r>
              <w:rPr>
                <w:rFonts w:hint="eastAsia"/>
                <w:sz w:val="21"/>
                <w:szCs w:val="21"/>
              </w:rPr>
              <w:t>管理，增强了员工向心力，有利于公司各项管理制度的推行。</w:t>
            </w:r>
          </w:p>
          <w:p>
            <w:pPr>
              <w:pStyle w:val="20"/>
              <w:numPr>
                <w:ilvl w:val="0"/>
                <w:numId w:val="1"/>
              </w:numPr>
              <w:spacing w:line="360" w:lineRule="auto"/>
              <w:ind w:firstLineChars="0"/>
              <w:rPr>
                <w:rFonts w:hint="eastAsia"/>
                <w:sz w:val="21"/>
                <w:szCs w:val="21"/>
              </w:rPr>
            </w:pPr>
            <w:r>
              <w:rPr>
                <w:rFonts w:hint="eastAsia" w:ascii="宋体" w:hAnsi="宋体" w:cs="宋体"/>
                <w:sz w:val="21"/>
                <w:szCs w:val="21"/>
              </w:rPr>
              <w:t>内部因素-生产过程</w:t>
            </w:r>
            <w:r>
              <w:rPr>
                <w:rFonts w:hint="eastAsia"/>
                <w:sz w:val="21"/>
                <w:szCs w:val="21"/>
              </w:rPr>
              <w:t>：风险：公司现有的设施、设备，生产运行中会产生噪音、臭味及废气排放，带来一定</w:t>
            </w:r>
            <w:r>
              <w:rPr>
                <w:rFonts w:hint="eastAsia"/>
                <w:sz w:val="21"/>
                <w:szCs w:val="21"/>
                <w:lang w:eastAsia="zh-CN"/>
              </w:rPr>
              <w:t>质量</w:t>
            </w:r>
            <w:r>
              <w:rPr>
                <w:rFonts w:hint="eastAsia"/>
                <w:sz w:val="21"/>
                <w:szCs w:val="21"/>
              </w:rPr>
              <w:t>风险。</w:t>
            </w:r>
          </w:p>
          <w:p>
            <w:pPr>
              <w:pStyle w:val="20"/>
              <w:numPr>
                <w:ilvl w:val="0"/>
                <w:numId w:val="0"/>
              </w:numPr>
              <w:spacing w:line="360" w:lineRule="auto"/>
              <w:ind w:left="425" w:leftChars="0"/>
              <w:rPr>
                <w:rFonts w:hint="eastAsia"/>
                <w:sz w:val="21"/>
                <w:szCs w:val="21"/>
              </w:rPr>
            </w:pPr>
            <w:r>
              <w:rPr>
                <w:rFonts w:hint="eastAsia"/>
                <w:sz w:val="21"/>
                <w:szCs w:val="21"/>
              </w:rPr>
              <w:t>机遇：设备设施的改进，有利于</w:t>
            </w:r>
            <w:r>
              <w:rPr>
                <w:rFonts w:hint="eastAsia"/>
                <w:sz w:val="21"/>
                <w:szCs w:val="21"/>
                <w:lang w:eastAsia="zh-CN"/>
              </w:rPr>
              <w:t>质量</w:t>
            </w:r>
            <w:r>
              <w:rPr>
                <w:rFonts w:hint="eastAsia"/>
                <w:sz w:val="21"/>
                <w:szCs w:val="21"/>
              </w:rPr>
              <w:t>保护，降低</w:t>
            </w:r>
            <w:r>
              <w:rPr>
                <w:rFonts w:hint="eastAsia"/>
                <w:sz w:val="21"/>
                <w:szCs w:val="21"/>
                <w:lang w:eastAsia="zh-CN"/>
              </w:rPr>
              <w:t>质量</w:t>
            </w:r>
            <w:r>
              <w:rPr>
                <w:rFonts w:hint="eastAsia"/>
                <w:sz w:val="21"/>
                <w:szCs w:val="21"/>
              </w:rPr>
              <w:t>风险，减少相关方投诉。</w:t>
            </w:r>
          </w:p>
          <w:p>
            <w:pPr>
              <w:pStyle w:val="20"/>
              <w:spacing w:line="360" w:lineRule="auto"/>
              <w:ind w:left="425" w:firstLine="0" w:firstLineChars="0"/>
              <w:rPr>
                <w:rFonts w:hint="eastAsia"/>
                <w:sz w:val="21"/>
                <w:szCs w:val="21"/>
              </w:rPr>
            </w:pPr>
            <w:r>
              <w:rPr>
                <w:rFonts w:hint="eastAsia"/>
                <w:sz w:val="21"/>
                <w:szCs w:val="21"/>
              </w:rPr>
              <w:t>另识别了社会、资源、财务状况、人力资源等风险和机遇。</w:t>
            </w:r>
          </w:p>
          <w:p>
            <w:pPr>
              <w:pStyle w:val="20"/>
              <w:spacing w:line="360" w:lineRule="auto"/>
              <w:ind w:left="425" w:firstLine="0" w:firstLineChars="0"/>
              <w:rPr>
                <w:rFonts w:hint="eastAsia"/>
                <w:sz w:val="21"/>
                <w:szCs w:val="21"/>
              </w:rPr>
            </w:pPr>
            <w:r>
              <w:rPr>
                <w:rFonts w:hint="eastAsia"/>
                <w:sz w:val="21"/>
                <w:szCs w:val="21"/>
              </w:rPr>
              <w:t>风险评估结论：对于以上涉及到的主要风险，一旦发生，均可能对公司的发展造成巨大损失，所以我们应时刻监视并评价相关</w:t>
            </w:r>
            <w:r>
              <w:rPr>
                <w:rFonts w:hint="eastAsia"/>
                <w:sz w:val="21"/>
                <w:szCs w:val="21"/>
                <w:lang w:val="en-US" w:eastAsia="zh-CN"/>
              </w:rPr>
              <w:t>质量风险</w:t>
            </w:r>
            <w:r>
              <w:rPr>
                <w:rFonts w:hint="eastAsia"/>
                <w:sz w:val="21"/>
                <w:szCs w:val="21"/>
              </w:rPr>
              <w:t>因素，尽可能的规避风险或降低发生概率。</w:t>
            </w:r>
          </w:p>
          <w:p>
            <w:pPr>
              <w:spacing w:line="360" w:lineRule="auto"/>
              <w:ind w:firstLine="420" w:firstLineChars="200"/>
              <w:rPr>
                <w:sz w:val="21"/>
                <w:szCs w:val="21"/>
              </w:rPr>
            </w:pPr>
            <w:r>
              <w:rPr>
                <w:rFonts w:hint="eastAsia"/>
                <w:sz w:val="21"/>
                <w:szCs w:val="21"/>
              </w:rPr>
              <w:t>企业制定了如下措施：</w:t>
            </w:r>
          </w:p>
          <w:p>
            <w:pPr>
              <w:numPr>
                <w:ilvl w:val="0"/>
                <w:numId w:val="2"/>
              </w:numPr>
              <w:spacing w:line="360" w:lineRule="auto"/>
              <w:ind w:firstLine="420" w:firstLineChars="200"/>
              <w:rPr>
                <w:sz w:val="21"/>
                <w:szCs w:val="21"/>
              </w:rPr>
            </w:pPr>
            <w:r>
              <w:rPr>
                <w:rFonts w:hint="eastAsia"/>
                <w:sz w:val="21"/>
                <w:szCs w:val="21"/>
              </w:rPr>
              <w:t>针对法律、法规内容的变化风险，主要职能部门按照要求定期收集评法律法规 。</w:t>
            </w:r>
          </w:p>
          <w:p>
            <w:pPr>
              <w:numPr>
                <w:ilvl w:val="0"/>
                <w:numId w:val="2"/>
              </w:numPr>
              <w:spacing w:line="360" w:lineRule="auto"/>
              <w:ind w:firstLine="420" w:firstLineChars="200"/>
              <w:rPr>
                <w:sz w:val="21"/>
                <w:szCs w:val="21"/>
              </w:rPr>
            </w:pPr>
            <w:r>
              <w:rPr>
                <w:rFonts w:hint="eastAsia"/>
                <w:sz w:val="21"/>
                <w:szCs w:val="21"/>
              </w:rPr>
              <w:t>技术风险的应对，公司根据目前的技术水平，制定的技术攻关和设备改造计划，有关职能部门予以有效落实。</w:t>
            </w:r>
          </w:p>
          <w:p>
            <w:pPr>
              <w:numPr>
                <w:ilvl w:val="0"/>
                <w:numId w:val="2"/>
              </w:numPr>
              <w:spacing w:line="360" w:lineRule="auto"/>
              <w:ind w:firstLine="420" w:firstLineChars="200"/>
              <w:rPr>
                <w:sz w:val="21"/>
                <w:szCs w:val="21"/>
              </w:rPr>
            </w:pPr>
            <w:r>
              <w:rPr>
                <w:rFonts w:hint="eastAsia"/>
                <w:sz w:val="21"/>
                <w:szCs w:val="21"/>
              </w:rPr>
              <w:t>管理风险的应对，加强公司团队的建设，争取公司的竞争力度，积极开拓市场业务，必要时增加公司的资质，例如进行管理体系的认证。</w:t>
            </w:r>
          </w:p>
          <w:p>
            <w:pPr>
              <w:numPr>
                <w:ilvl w:val="0"/>
                <w:numId w:val="2"/>
              </w:numPr>
              <w:spacing w:line="360" w:lineRule="auto"/>
              <w:ind w:firstLine="420" w:firstLineChars="200"/>
              <w:rPr>
                <w:rFonts w:hint="eastAsia"/>
                <w:sz w:val="21"/>
                <w:szCs w:val="21"/>
              </w:rPr>
            </w:pPr>
            <w:r>
              <w:rPr>
                <w:rFonts w:hint="eastAsia"/>
                <w:sz w:val="21"/>
                <w:szCs w:val="21"/>
              </w:rPr>
              <w:t>市场风险的应对，</w:t>
            </w:r>
          </w:p>
          <w:p>
            <w:pPr>
              <w:numPr>
                <w:ilvl w:val="0"/>
                <w:numId w:val="3"/>
              </w:numPr>
              <w:spacing w:line="360" w:lineRule="auto"/>
              <w:ind w:left="840" w:leftChars="0"/>
              <w:rPr>
                <w:rFonts w:hint="eastAsia"/>
                <w:sz w:val="21"/>
                <w:szCs w:val="21"/>
              </w:rPr>
            </w:pPr>
            <w:r>
              <w:rPr>
                <w:rFonts w:hint="eastAsia"/>
                <w:sz w:val="21"/>
                <w:szCs w:val="21"/>
              </w:rPr>
              <w:t>完善公司内部管理制度，加强部门的考核，提高公司管理水平，提高公司产品质量，保持竞争的优势； </w:t>
            </w:r>
          </w:p>
          <w:p>
            <w:pPr>
              <w:numPr>
                <w:ilvl w:val="0"/>
                <w:numId w:val="3"/>
              </w:numPr>
              <w:spacing w:line="360" w:lineRule="auto"/>
              <w:ind w:left="840" w:leftChars="0"/>
              <w:rPr>
                <w:rFonts w:hint="eastAsia"/>
                <w:sz w:val="21"/>
                <w:szCs w:val="21"/>
              </w:rPr>
            </w:pPr>
            <w:r>
              <w:rPr>
                <w:rFonts w:hint="eastAsia"/>
                <w:sz w:val="21"/>
                <w:szCs w:val="21"/>
              </w:rPr>
              <w:t>积极开拓新产品市场，储备新的产品，提高市场容量。</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23" w:type="dxa"/>
          </w:tcPr>
          <w:p>
            <w:pPr>
              <w:spacing w:line="360" w:lineRule="auto"/>
              <w:rPr>
                <w:rFonts w:ascii="宋体" w:hAnsi="宋体" w:cs="宋体"/>
                <w:sz w:val="21"/>
                <w:szCs w:val="21"/>
              </w:rPr>
            </w:pPr>
            <w:r>
              <w:rPr>
                <w:rFonts w:hint="eastAsia" w:ascii="宋体" w:hAnsi="宋体" w:cs="宋体"/>
                <w:sz w:val="21"/>
                <w:szCs w:val="21"/>
                <w:lang w:val="en-US" w:eastAsia="zh-CN"/>
              </w:rPr>
              <w:t>质量</w:t>
            </w:r>
            <w:r>
              <w:rPr>
                <w:rFonts w:hint="eastAsia" w:ascii="宋体" w:hAnsi="宋体" w:cs="宋体"/>
                <w:sz w:val="21"/>
                <w:szCs w:val="21"/>
              </w:rPr>
              <w:t>目标及其实现的策划</w:t>
            </w:r>
          </w:p>
          <w:p>
            <w:pPr>
              <w:spacing w:line="360" w:lineRule="auto"/>
              <w:rPr>
                <w:rFonts w:ascii="宋体" w:hAnsi="宋体" w:cs="宋体"/>
                <w:sz w:val="21"/>
                <w:szCs w:val="21"/>
              </w:rPr>
            </w:pPr>
          </w:p>
        </w:tc>
        <w:tc>
          <w:tcPr>
            <w:tcW w:w="1149" w:type="dxa"/>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w:t>
            </w:r>
            <w:r>
              <w:rPr>
                <w:rFonts w:hint="eastAsia" w:asciiTheme="minorEastAsia" w:hAnsiTheme="minorEastAsia" w:eastAsiaTheme="minorEastAsia" w:cstheme="minorEastAsia"/>
                <w:sz w:val="21"/>
                <w:szCs w:val="21"/>
              </w:rPr>
              <w:t>6.2</w:t>
            </w:r>
          </w:p>
          <w:p>
            <w:pPr>
              <w:spacing w:line="360" w:lineRule="auto"/>
              <w:rPr>
                <w:rFonts w:asciiTheme="minorEastAsia" w:hAnsiTheme="minorEastAsia" w:eastAsiaTheme="minorEastAsia" w:cstheme="minorEastAsia"/>
                <w:sz w:val="21"/>
                <w:szCs w:val="21"/>
              </w:rPr>
            </w:pPr>
          </w:p>
        </w:tc>
        <w:tc>
          <w:tcPr>
            <w:tcW w:w="10785" w:type="dxa"/>
            <w:vAlign w:val="center"/>
          </w:tcPr>
          <w:p>
            <w:pPr>
              <w:spacing w:line="360" w:lineRule="auto"/>
              <w:ind w:firstLine="420" w:firstLineChars="200"/>
              <w:rPr>
                <w:sz w:val="21"/>
                <w:szCs w:val="21"/>
              </w:rPr>
            </w:pPr>
            <w:r>
              <w:rPr>
                <w:rFonts w:hint="eastAsia"/>
                <w:sz w:val="21"/>
                <w:szCs w:val="21"/>
              </w:rPr>
              <w:t>公司对管理体系所需的相关职能、层次和过程设定</w:t>
            </w:r>
            <w:r>
              <w:rPr>
                <w:rFonts w:hint="eastAsia"/>
                <w:sz w:val="21"/>
                <w:szCs w:val="21"/>
                <w:lang w:val="en-US" w:eastAsia="zh-CN"/>
              </w:rPr>
              <w:t>质量</w:t>
            </w:r>
            <w:r>
              <w:rPr>
                <w:rFonts w:hint="eastAsia"/>
                <w:sz w:val="21"/>
                <w:szCs w:val="21"/>
              </w:rPr>
              <w:t>目标。</w:t>
            </w:r>
          </w:p>
          <w:p>
            <w:pPr>
              <w:spacing w:line="360" w:lineRule="auto"/>
              <w:ind w:firstLine="420" w:firstLineChars="200"/>
              <w:rPr>
                <w:sz w:val="21"/>
                <w:szCs w:val="21"/>
              </w:rPr>
            </w:pPr>
            <w:r>
              <w:rPr>
                <w:rFonts w:hint="eastAsia"/>
                <w:sz w:val="21"/>
                <w:szCs w:val="21"/>
                <w:lang w:val="en-US" w:eastAsia="zh-CN"/>
              </w:rPr>
              <w:t>提供有</w:t>
            </w:r>
            <w:r>
              <w:rPr>
                <w:rFonts w:hint="eastAsia"/>
                <w:sz w:val="21"/>
                <w:szCs w:val="21"/>
              </w:rPr>
              <w:t>公司</w:t>
            </w:r>
            <w:r>
              <w:rPr>
                <w:rFonts w:hint="eastAsia"/>
                <w:sz w:val="21"/>
                <w:szCs w:val="21"/>
                <w:lang w:val="en-US" w:eastAsia="zh-CN"/>
              </w:rPr>
              <w:t>及各部门质量</w:t>
            </w:r>
            <w:r>
              <w:rPr>
                <w:rFonts w:hint="eastAsia"/>
                <w:sz w:val="21"/>
                <w:szCs w:val="21"/>
              </w:rPr>
              <w:t>目标</w:t>
            </w:r>
            <w:r>
              <w:rPr>
                <w:rFonts w:hint="eastAsia"/>
                <w:sz w:val="21"/>
                <w:szCs w:val="21"/>
                <w:lang w:eastAsia="zh-CN"/>
              </w:rPr>
              <w:t>、</w:t>
            </w:r>
            <w:r>
              <w:rPr>
                <w:rFonts w:hint="eastAsia"/>
                <w:sz w:val="21"/>
                <w:szCs w:val="21"/>
                <w:lang w:val="en-US" w:eastAsia="zh-CN"/>
              </w:rPr>
              <w:t>计算方法、责任部门、考核依据、考核周期等，符合要求</w:t>
            </w:r>
            <w:r>
              <w:rPr>
                <w:rFonts w:hint="eastAsia"/>
                <w:sz w:val="21"/>
                <w:szCs w:val="21"/>
              </w:rPr>
              <w:t>：</w:t>
            </w:r>
          </w:p>
          <w:p>
            <w:pPr>
              <w:spacing w:line="360" w:lineRule="auto"/>
              <w:ind w:firstLine="420" w:firstLineChars="200"/>
              <w:rPr>
                <w:rFonts w:hint="eastAsia" w:eastAsia="宋体"/>
                <w:sz w:val="21"/>
                <w:szCs w:val="21"/>
                <w:lang w:eastAsia="zh-CN"/>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266700</wp:posOffset>
                  </wp:positionH>
                  <wp:positionV relativeFrom="paragraph">
                    <wp:posOffset>90805</wp:posOffset>
                  </wp:positionV>
                  <wp:extent cx="3059430" cy="2052955"/>
                  <wp:effectExtent l="0" t="0" r="1270" b="4445"/>
                  <wp:wrapNone/>
                  <wp:docPr id="8" name="图片 8" descr="167249511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2495115572"/>
                          <pic:cNvPicPr>
                            <a:picLocks noChangeAspect="1"/>
                          </pic:cNvPicPr>
                        </pic:nvPicPr>
                        <pic:blipFill>
                          <a:blip r:embed="rId6"/>
                          <a:stretch>
                            <a:fillRect/>
                          </a:stretch>
                        </pic:blipFill>
                        <pic:spPr>
                          <a:xfrm>
                            <a:off x="0" y="0"/>
                            <a:ext cx="3059430" cy="2052955"/>
                          </a:xfrm>
                          <a:prstGeom prst="rect">
                            <a:avLst/>
                          </a:prstGeom>
                        </pic:spPr>
                      </pic:pic>
                    </a:graphicData>
                  </a:graphic>
                </wp:anchor>
              </w:drawing>
            </w:r>
          </w:p>
          <w:p>
            <w:pPr>
              <w:pStyle w:val="2"/>
              <w:rPr>
                <w:rFonts w:hint="eastAsia" w:eastAsia="宋体"/>
                <w:sz w:val="21"/>
                <w:szCs w:val="21"/>
                <w:lang w:eastAsia="zh-CN"/>
              </w:rPr>
            </w:pPr>
          </w:p>
          <w:p>
            <w:pPr>
              <w:pStyle w:val="2"/>
              <w:rPr>
                <w:rFonts w:hint="eastAsia" w:eastAsia="宋体"/>
                <w:sz w:val="21"/>
                <w:szCs w:val="21"/>
                <w:lang w:eastAsia="zh-CN"/>
              </w:rPr>
            </w:pPr>
          </w:p>
          <w:p>
            <w:pPr>
              <w:pStyle w:val="2"/>
              <w:rPr>
                <w:rFonts w:hint="eastAsia" w:eastAsia="宋体"/>
                <w:sz w:val="21"/>
                <w:szCs w:val="21"/>
                <w:lang w:eastAsia="zh-CN"/>
              </w:rPr>
            </w:pPr>
          </w:p>
          <w:p>
            <w:pPr>
              <w:pStyle w:val="2"/>
              <w:rPr>
                <w:rFonts w:hint="eastAsia" w:eastAsia="宋体"/>
                <w:sz w:val="21"/>
                <w:szCs w:val="21"/>
                <w:lang w:eastAsia="zh-CN"/>
              </w:rPr>
            </w:pPr>
          </w:p>
          <w:p>
            <w:pPr>
              <w:pStyle w:val="2"/>
              <w:rPr>
                <w:rFonts w:hint="eastAsia" w:eastAsia="宋体"/>
                <w:sz w:val="21"/>
                <w:szCs w:val="21"/>
                <w:lang w:eastAsia="zh-CN"/>
              </w:rPr>
            </w:pPr>
          </w:p>
          <w:p>
            <w:pPr>
              <w:pStyle w:val="2"/>
              <w:rPr>
                <w:rFonts w:hint="eastAsia" w:eastAsia="宋体"/>
                <w:sz w:val="21"/>
                <w:szCs w:val="21"/>
                <w:lang w:eastAsia="zh-CN"/>
              </w:rPr>
            </w:pPr>
          </w:p>
          <w:p>
            <w:pPr>
              <w:pStyle w:val="2"/>
              <w:rPr>
                <w:rFonts w:hint="eastAsia" w:eastAsia="宋体"/>
                <w:sz w:val="21"/>
                <w:szCs w:val="21"/>
                <w:lang w:eastAsia="zh-CN"/>
              </w:rPr>
            </w:pPr>
          </w:p>
          <w:p>
            <w:pPr>
              <w:spacing w:line="360" w:lineRule="auto"/>
              <w:ind w:firstLine="420" w:firstLineChars="200"/>
              <w:rPr>
                <w:sz w:val="21"/>
                <w:szCs w:val="21"/>
              </w:rPr>
            </w:pPr>
            <w:r>
              <w:rPr>
                <w:rFonts w:hint="eastAsia"/>
                <w:sz w:val="21"/>
                <w:szCs w:val="21"/>
              </w:rPr>
              <w:t>目标可测量，与公司管理方针一致。</w:t>
            </w:r>
          </w:p>
          <w:p>
            <w:pPr>
              <w:spacing w:line="360" w:lineRule="auto"/>
              <w:ind w:firstLine="420" w:firstLineChars="200"/>
              <w:rPr>
                <w:sz w:val="21"/>
                <w:szCs w:val="21"/>
              </w:rPr>
            </w:pPr>
            <w:r>
              <w:rPr>
                <w:rFonts w:hint="eastAsia"/>
                <w:sz w:val="21"/>
                <w:szCs w:val="21"/>
              </w:rPr>
              <w:t>每年由</w:t>
            </w:r>
            <w:r>
              <w:rPr>
                <w:rFonts w:hint="eastAsia"/>
                <w:sz w:val="21"/>
                <w:szCs w:val="21"/>
                <w:lang w:eastAsia="zh-CN"/>
              </w:rPr>
              <w:t>行政部</w:t>
            </w:r>
            <w:r>
              <w:rPr>
                <w:rFonts w:hint="eastAsia"/>
                <w:sz w:val="21"/>
                <w:szCs w:val="21"/>
              </w:rPr>
              <w:t>按公司管理目标考核要求统计考核公司管理目标完成情况，提交管理评审会议。</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23" w:type="dxa"/>
          </w:tcPr>
          <w:p>
            <w:pPr>
              <w:spacing w:line="360" w:lineRule="auto"/>
              <w:rPr>
                <w:rFonts w:ascii="宋体" w:hAnsi="宋体" w:cs="宋体"/>
                <w:sz w:val="21"/>
                <w:szCs w:val="21"/>
              </w:rPr>
            </w:pPr>
            <w:r>
              <w:rPr>
                <w:rFonts w:hint="eastAsia" w:ascii="宋体" w:hAnsi="宋体" w:cs="宋体"/>
                <w:sz w:val="21"/>
                <w:szCs w:val="21"/>
              </w:rPr>
              <w:t>变更的策划</w:t>
            </w:r>
          </w:p>
          <w:p>
            <w:pPr>
              <w:spacing w:line="360" w:lineRule="auto"/>
              <w:rPr>
                <w:rFonts w:ascii="宋体" w:hAnsi="宋体" w:cs="宋体"/>
                <w:sz w:val="21"/>
                <w:szCs w:val="21"/>
              </w:rPr>
            </w:pPr>
          </w:p>
        </w:tc>
        <w:tc>
          <w:tcPr>
            <w:tcW w:w="1149" w:type="dxa"/>
          </w:tcPr>
          <w:p>
            <w:pPr>
              <w:spacing w:line="360" w:lineRule="auto"/>
              <w:rPr>
                <w:sz w:val="21"/>
                <w:szCs w:val="21"/>
              </w:rPr>
            </w:pPr>
            <w:r>
              <w:rPr>
                <w:rFonts w:hint="eastAsia"/>
                <w:sz w:val="21"/>
                <w:szCs w:val="21"/>
              </w:rPr>
              <w:t>Q6.3</w:t>
            </w:r>
          </w:p>
          <w:p>
            <w:pPr>
              <w:pStyle w:val="12"/>
              <w:spacing w:line="360" w:lineRule="auto"/>
              <w:rPr>
                <w:sz w:val="21"/>
                <w:szCs w:val="21"/>
              </w:rPr>
            </w:pPr>
          </w:p>
        </w:tc>
        <w:tc>
          <w:tcPr>
            <w:tcW w:w="10785" w:type="dxa"/>
            <w:vAlign w:val="center"/>
          </w:tcPr>
          <w:p>
            <w:pPr>
              <w:autoSpaceDE w:val="0"/>
              <w:autoSpaceDN w:val="0"/>
              <w:adjustRightInd w:val="0"/>
              <w:spacing w:line="360" w:lineRule="auto"/>
              <w:ind w:firstLine="480"/>
              <w:rPr>
                <w:rFonts w:ascii="宋体" w:hAnsi="宋体" w:cs="宋体"/>
                <w:sz w:val="21"/>
                <w:szCs w:val="21"/>
              </w:rPr>
            </w:pPr>
            <w:r>
              <w:rPr>
                <w:rFonts w:hint="eastAsia" w:ascii="宋体" w:hAnsi="宋体" w:cs="宋体"/>
                <w:sz w:val="21"/>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360" w:lineRule="auto"/>
              <w:ind w:firstLine="420" w:firstLineChars="200"/>
              <w:rPr>
                <w:rFonts w:ascii="宋体" w:hAnsi="宋体" w:cs="宋体"/>
                <w:sz w:val="21"/>
                <w:szCs w:val="21"/>
              </w:rPr>
            </w:pPr>
            <w:r>
              <w:rPr>
                <w:rFonts w:hint="eastAsia" w:ascii="宋体" w:hAnsi="宋体" w:cs="宋体"/>
                <w:sz w:val="21"/>
                <w:szCs w:val="21"/>
              </w:rPr>
              <w:t>公司目前对管理体系暂无变更。</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tcPr>
          <w:p>
            <w:pPr>
              <w:spacing w:line="360" w:lineRule="auto"/>
              <w:rPr>
                <w:rFonts w:ascii="宋体" w:hAnsi="宋体" w:cs="宋体"/>
                <w:sz w:val="21"/>
                <w:szCs w:val="21"/>
              </w:rPr>
            </w:pPr>
            <w:r>
              <w:rPr>
                <w:rFonts w:hint="eastAsia" w:ascii="宋体" w:hAnsi="宋体" w:cs="宋体"/>
                <w:sz w:val="21"/>
                <w:szCs w:val="21"/>
              </w:rPr>
              <w:t>资源</w:t>
            </w:r>
            <w:r>
              <w:rPr>
                <w:rFonts w:hint="eastAsia" w:ascii="宋体" w:hAnsi="宋体" w:cs="宋体"/>
                <w:sz w:val="21"/>
                <w:szCs w:val="21"/>
                <w:lang w:val="en-US" w:eastAsia="zh-CN"/>
              </w:rPr>
              <w:t xml:space="preserve"> </w:t>
            </w:r>
            <w:r>
              <w:rPr>
                <w:rFonts w:hint="eastAsia" w:ascii="宋体" w:hAnsi="宋体" w:cs="宋体"/>
                <w:sz w:val="21"/>
                <w:szCs w:val="21"/>
              </w:rPr>
              <w:t>总则</w:t>
            </w:r>
          </w:p>
          <w:p>
            <w:pPr>
              <w:spacing w:line="360" w:lineRule="auto"/>
              <w:rPr>
                <w:rFonts w:ascii="宋体" w:hAnsi="宋体" w:cs="宋体"/>
                <w:sz w:val="21"/>
                <w:szCs w:val="21"/>
              </w:rPr>
            </w:pPr>
          </w:p>
        </w:tc>
        <w:tc>
          <w:tcPr>
            <w:tcW w:w="1149" w:type="dxa"/>
          </w:tcPr>
          <w:p>
            <w:pPr>
              <w:spacing w:line="360" w:lineRule="auto"/>
              <w:rPr>
                <w:sz w:val="21"/>
                <w:szCs w:val="21"/>
              </w:rPr>
            </w:pPr>
            <w:r>
              <w:rPr>
                <w:rFonts w:hint="eastAsia"/>
                <w:sz w:val="21"/>
                <w:szCs w:val="21"/>
              </w:rPr>
              <w:t>Q7.1.1</w:t>
            </w:r>
          </w:p>
          <w:p>
            <w:pPr>
              <w:spacing w:line="360" w:lineRule="auto"/>
              <w:rPr>
                <w:sz w:val="21"/>
                <w:szCs w:val="21"/>
              </w:rPr>
            </w:pPr>
          </w:p>
        </w:tc>
        <w:tc>
          <w:tcPr>
            <w:tcW w:w="10785" w:type="dxa"/>
            <w:vAlign w:val="center"/>
          </w:tcPr>
          <w:p>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查公司配备了必要的人力资源，基础设施，规范文件、资金等必要的资源，能够持续满足顾客需求和管理体系改进的需要。</w:t>
            </w:r>
          </w:p>
          <w:p>
            <w:pPr>
              <w:autoSpaceDE w:val="0"/>
              <w:autoSpaceDN w:val="0"/>
              <w:adjustRightInd w:val="0"/>
              <w:spacing w:line="360" w:lineRule="auto"/>
              <w:ind w:firstLine="480"/>
              <w:rPr>
                <w:rFonts w:hint="default" w:ascii="宋体" w:hAnsi="宋体" w:eastAsia="宋体" w:cs="宋体"/>
                <w:sz w:val="21"/>
                <w:szCs w:val="21"/>
                <w:lang w:val="en-US" w:eastAsia="zh-CN"/>
              </w:rPr>
            </w:pPr>
            <w:r>
              <w:rPr>
                <w:rFonts w:hint="eastAsia" w:ascii="宋体" w:hAnsi="宋体" w:eastAsia="宋体" w:cs="宋体"/>
                <w:sz w:val="21"/>
                <w:szCs w:val="21"/>
              </w:rPr>
              <w:t>部门：</w:t>
            </w:r>
            <w:r>
              <w:rPr>
                <w:rFonts w:hint="eastAsia" w:ascii="宋体" w:hAnsi="宋体" w:eastAsia="宋体" w:cs="宋体"/>
                <w:sz w:val="21"/>
                <w:szCs w:val="21"/>
                <w:lang w:eastAsia="zh-CN"/>
              </w:rPr>
              <w:t>行政部</w:t>
            </w:r>
            <w:r>
              <w:rPr>
                <w:rFonts w:hint="eastAsia" w:ascii="宋体" w:hAnsi="宋体" w:eastAsia="宋体" w:cs="宋体"/>
                <w:sz w:val="21"/>
                <w:szCs w:val="21"/>
              </w:rPr>
              <w:t>、</w:t>
            </w:r>
            <w:r>
              <w:rPr>
                <w:rFonts w:hint="eastAsia" w:ascii="宋体" w:hAnsi="宋体" w:eastAsia="宋体" w:cs="宋体"/>
                <w:sz w:val="21"/>
                <w:szCs w:val="21"/>
                <w:lang w:eastAsia="zh-CN"/>
              </w:rPr>
              <w:t>业务部</w:t>
            </w:r>
            <w:r>
              <w:rPr>
                <w:rFonts w:hint="eastAsia" w:ascii="宋体" w:hAnsi="宋体" w:eastAsia="宋体" w:cs="宋体"/>
                <w:sz w:val="21"/>
                <w:szCs w:val="21"/>
              </w:rPr>
              <w:t>、</w:t>
            </w:r>
            <w:r>
              <w:rPr>
                <w:rFonts w:hint="eastAsia" w:ascii="宋体" w:hAnsi="宋体" w:eastAsia="宋体" w:cs="宋体"/>
                <w:sz w:val="21"/>
                <w:szCs w:val="21"/>
                <w:lang w:eastAsia="zh-CN"/>
              </w:rPr>
              <w:t>生产部、</w:t>
            </w:r>
            <w:r>
              <w:rPr>
                <w:rFonts w:hint="eastAsia" w:ascii="宋体" w:hAnsi="宋体" w:eastAsia="宋体" w:cs="宋体"/>
                <w:sz w:val="21"/>
                <w:szCs w:val="21"/>
                <w:lang w:val="en-US" w:eastAsia="zh-CN"/>
              </w:rPr>
              <w:t>品质部</w:t>
            </w:r>
          </w:p>
          <w:p>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人员：办公人员、销售人员、财务人员、技术人员、生产人员、质检人员。</w:t>
            </w:r>
          </w:p>
          <w:p>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办公设备：电脑、电话、打印机、传真机等</w:t>
            </w:r>
          </w:p>
          <w:p>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生产设备：中频炉</w:t>
            </w:r>
            <w:r>
              <w:rPr>
                <w:rFonts w:hint="eastAsia" w:ascii="宋体" w:hAnsi="宋体" w:eastAsia="宋体" w:cs="宋体"/>
                <w:sz w:val="21"/>
                <w:szCs w:val="21"/>
                <w:lang w:eastAsia="zh-CN"/>
              </w:rPr>
              <w:t>、</w:t>
            </w:r>
            <w:r>
              <w:rPr>
                <w:rFonts w:hint="eastAsia" w:ascii="宋体" w:hAnsi="宋体" w:eastAsia="宋体" w:cs="宋体"/>
                <w:sz w:val="21"/>
                <w:szCs w:val="21"/>
              </w:rPr>
              <w:t>造型机</w:t>
            </w:r>
            <w:r>
              <w:rPr>
                <w:rFonts w:hint="eastAsia" w:ascii="宋体" w:hAnsi="宋体" w:eastAsia="宋体" w:cs="宋体"/>
                <w:sz w:val="21"/>
                <w:szCs w:val="21"/>
                <w:lang w:eastAsia="zh-CN"/>
              </w:rPr>
              <w:t>、</w:t>
            </w:r>
            <w:r>
              <w:rPr>
                <w:rFonts w:hint="eastAsia" w:ascii="宋体" w:hAnsi="宋体" w:eastAsia="宋体" w:cs="宋体"/>
                <w:sz w:val="21"/>
                <w:szCs w:val="21"/>
              </w:rPr>
              <w:t>液压车</w:t>
            </w:r>
            <w:r>
              <w:rPr>
                <w:rFonts w:hint="eastAsia" w:ascii="宋体" w:hAnsi="宋体" w:eastAsia="宋体" w:cs="宋体"/>
                <w:sz w:val="21"/>
                <w:szCs w:val="21"/>
                <w:lang w:eastAsia="zh-CN"/>
              </w:rPr>
              <w:t>、</w:t>
            </w:r>
            <w:r>
              <w:rPr>
                <w:rFonts w:hint="eastAsia" w:ascii="宋体" w:hAnsi="宋体" w:eastAsia="宋体" w:cs="宋体"/>
                <w:sz w:val="21"/>
                <w:szCs w:val="21"/>
              </w:rPr>
              <w:t>手持角磨机</w:t>
            </w:r>
            <w:r>
              <w:rPr>
                <w:rFonts w:hint="eastAsia" w:ascii="宋体" w:hAnsi="宋体" w:eastAsia="宋体" w:cs="宋体"/>
                <w:sz w:val="21"/>
                <w:szCs w:val="21"/>
                <w:lang w:eastAsia="zh-CN"/>
              </w:rPr>
              <w:t>、</w:t>
            </w:r>
            <w:r>
              <w:rPr>
                <w:rFonts w:hint="eastAsia" w:ascii="宋体" w:hAnsi="宋体" w:eastAsia="宋体" w:cs="宋体"/>
                <w:sz w:val="21"/>
                <w:szCs w:val="21"/>
              </w:rPr>
              <w:t>搅拌机</w:t>
            </w:r>
            <w:r>
              <w:rPr>
                <w:rFonts w:hint="eastAsia" w:ascii="宋体" w:hAnsi="宋体" w:eastAsia="宋体" w:cs="宋体"/>
                <w:sz w:val="21"/>
                <w:szCs w:val="21"/>
                <w:lang w:eastAsia="zh-CN"/>
              </w:rPr>
              <w:t>、</w:t>
            </w:r>
            <w:r>
              <w:rPr>
                <w:rFonts w:hint="eastAsia" w:ascii="宋体" w:hAnsi="宋体" w:eastAsia="宋体" w:cs="宋体"/>
                <w:sz w:val="21"/>
                <w:szCs w:val="21"/>
              </w:rPr>
              <w:t>抛丸机等。</w:t>
            </w:r>
          </w:p>
          <w:p>
            <w:pPr>
              <w:autoSpaceDE w:val="0"/>
              <w:autoSpaceDN w:val="0"/>
              <w:adjustRightInd w:val="0"/>
              <w:spacing w:line="360" w:lineRule="auto"/>
              <w:ind w:firstLine="48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检测设备：卷尺、台秤、卡尺等</w:t>
            </w:r>
          </w:p>
          <w:p>
            <w:pPr>
              <w:autoSpaceDE w:val="0"/>
              <w:autoSpaceDN w:val="0"/>
              <w:adjustRightInd w:val="0"/>
              <w:spacing w:line="360" w:lineRule="auto"/>
              <w:ind w:firstLine="480"/>
              <w:rPr>
                <w:sz w:val="21"/>
                <w:szCs w:val="21"/>
              </w:rPr>
            </w:pPr>
            <w:r>
              <w:rPr>
                <w:rFonts w:hint="eastAsia" w:ascii="宋体" w:hAnsi="宋体" w:eastAsia="宋体" w:cs="宋体"/>
                <w:sz w:val="21"/>
                <w:szCs w:val="21"/>
              </w:rPr>
              <w:t>消防设施：消防栓、灭火器等。</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3"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沟通</w:t>
            </w:r>
          </w:p>
        </w:tc>
        <w:tc>
          <w:tcPr>
            <w:tcW w:w="1149"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Times New Roman" w:hAnsi="Times New Roman" w:eastAsia="宋体" w:cs="Times New Roman"/>
                <w:sz w:val="21"/>
                <w:szCs w:val="21"/>
                <w:lang w:val="en-US" w:eastAsia="zh-CN"/>
              </w:rPr>
              <w:t>Q7.4</w:t>
            </w:r>
          </w:p>
        </w:tc>
        <w:tc>
          <w:tcPr>
            <w:tcW w:w="10785" w:type="dxa"/>
            <w:vAlign w:val="center"/>
          </w:tcPr>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组织按照</w:t>
            </w:r>
            <w:r>
              <w:rPr>
                <w:rFonts w:hint="eastAsia" w:ascii="宋体" w:hAnsi="宋体" w:eastAsia="宋体" w:cs="宋体"/>
                <w:sz w:val="21"/>
                <w:szCs w:val="21"/>
                <w:lang w:val="en-US" w:eastAsia="zh-CN"/>
              </w:rPr>
              <w:t>《内外部沟通控制程序》</w:t>
            </w:r>
            <w:r>
              <w:rPr>
                <w:rFonts w:hint="eastAsia" w:ascii="宋体" w:hAnsi="宋体" w:eastAsia="宋体" w:cs="宋体"/>
                <w:bCs w:val="0"/>
                <w:spacing w:val="0"/>
                <w:kern w:val="2"/>
                <w:sz w:val="21"/>
                <w:szCs w:val="21"/>
                <w:lang w:val="en-US" w:eastAsia="zh-CN" w:bidi="ar-SA"/>
              </w:rPr>
              <w:t>对沟通过程进行控制，其内部沟通的内容：沟通的信息一般包括：管理方针、目标、职责的沟通和传达；质量和相关方分析信息，生产和销售中的质量风险信息；相关法律法规和其他要求的传达和合规性评价结果；顾客、员工及其他相关方要求的传递；其他信息传递。其外部沟通的内容主要包括：向顾客、供方、社区等相关方宣传组织的质量方针和管理要求；传递相关方要求的变更信息；接收、处理和答复相关方关注的相关问题；与供方、顾客业务处理过程中信息沟通；与主管部门在监督检查中的沟通等。</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沟通方式包括：1.内部：参与方针、目标和相关文件的制定、体系文件的宣贯、内部审核和管理评审及宣传栏、口头（电话）、生产日报、检验记录、质量报表；2.外部：招投标活动、中标签订合同后评审、参与产品交付验收、保修要求及回访、投诉等。</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抽查内部沟通案例：内审人员任命书等。</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抽查外部沟通案例：《相关方告知书》：沟通内容包括1.方针；2.配合事项；沟通方式：文件；内容基本完整，相关方有盖章，基本能够保证有效传达。</w:t>
            </w:r>
          </w:p>
        </w:tc>
        <w:tc>
          <w:tcPr>
            <w:tcW w:w="752" w:type="dxa"/>
            <w:vAlign w:val="top"/>
          </w:tcPr>
          <w:p>
            <w:pPr>
              <w:spacing w:line="360" w:lineRule="auto"/>
              <w:rPr>
                <w:rFonts w:hint="eastAsia" w:ascii="宋体" w:hAnsi="宋体" w:eastAsia="宋体" w:cs="宋体"/>
                <w:color w:val="FF0000"/>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023" w:type="dxa"/>
            <w:vAlign w:val="center"/>
          </w:tcPr>
          <w:p>
            <w:pPr>
              <w:spacing w:line="360" w:lineRule="auto"/>
              <w:rPr>
                <w:rFonts w:hint="default" w:ascii="宋体" w:hAnsi="宋体" w:eastAsia="宋体" w:cs="宋体"/>
                <w:sz w:val="21"/>
                <w:szCs w:val="21"/>
                <w:lang w:val="en-US" w:eastAsia="zh-CN"/>
              </w:rPr>
            </w:pPr>
            <w:r>
              <w:rPr>
                <w:rFonts w:hint="eastAsia" w:asciiTheme="minorEastAsia" w:hAnsiTheme="minorEastAsia" w:eastAsiaTheme="minorEastAsia" w:cstheme="minorEastAsia"/>
                <w:sz w:val="21"/>
                <w:szCs w:val="21"/>
                <w:lang w:val="en-US" w:eastAsia="zh-CN"/>
              </w:rPr>
              <w:t>监视、测量、分析和评价总则</w:t>
            </w:r>
          </w:p>
        </w:tc>
        <w:tc>
          <w:tcPr>
            <w:tcW w:w="1149" w:type="dxa"/>
            <w:vAlign w:val="center"/>
          </w:tcPr>
          <w:p>
            <w:pPr>
              <w:spacing w:line="360" w:lineRule="auto"/>
              <w:rPr>
                <w:sz w:val="21"/>
                <w:szCs w:val="21"/>
              </w:rPr>
            </w:pPr>
            <w:r>
              <w:rPr>
                <w:rFonts w:hint="eastAsia" w:ascii="Times New Roman" w:hAnsi="Times New Roman" w:eastAsia="宋体" w:cs="Times New Roman"/>
                <w:sz w:val="21"/>
                <w:szCs w:val="21"/>
                <w:lang w:val="en-US" w:eastAsia="zh-CN"/>
              </w:rPr>
              <w:t>Q9.1.1</w:t>
            </w:r>
          </w:p>
        </w:tc>
        <w:tc>
          <w:tcPr>
            <w:tcW w:w="10785" w:type="dxa"/>
            <w:vAlign w:val="center"/>
          </w:tcPr>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公司编制了《顾客满意与顾客财产控制程序》，对</w:t>
            </w:r>
            <w:r>
              <w:rPr>
                <w:rFonts w:hint="eastAsia"/>
                <w:sz w:val="21"/>
                <w:szCs w:val="21"/>
              </w:rPr>
              <w:t>产品</w:t>
            </w:r>
            <w:r>
              <w:rPr>
                <w:rFonts w:hint="eastAsia" w:asciiTheme="minorEastAsia" w:hAnsiTheme="minorEastAsia" w:eastAsiaTheme="minorEastAsia" w:cstheme="minorEastAsia"/>
                <w:sz w:val="21"/>
                <w:szCs w:val="21"/>
              </w:rPr>
              <w:t>的质量特性进行监视和测量，以验证其符合要求的程度，确保服务符合要求。</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公司制定《内部质量审核控制程序》、《管理评审控制程序》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为保证公司质量管理体系的有效运行，通过对管理绩效的监视与测量，确保体系运行的有效性。</w:t>
            </w:r>
          </w:p>
          <w:p>
            <w:pPr>
              <w:pStyle w:val="12"/>
              <w:spacing w:line="360" w:lineRule="auto"/>
              <w:ind w:firstLine="460" w:firstLineChars="200"/>
              <w:rPr>
                <w:sz w:val="21"/>
                <w:szCs w:val="21"/>
              </w:rPr>
            </w:pPr>
            <w:r>
              <w:rPr>
                <w:rFonts w:hint="eastAsia"/>
                <w:sz w:val="21"/>
                <w:szCs w:val="21"/>
                <w:lang w:eastAsia="zh-CN"/>
              </w:rPr>
              <w:t>行政部</w:t>
            </w:r>
            <w:r>
              <w:rPr>
                <w:rFonts w:hint="eastAsia"/>
                <w:sz w:val="21"/>
                <w:szCs w:val="21"/>
              </w:rPr>
              <w:t>提供了质量目标分解与实施表，规定了分解部门，分解值与采取的措施，考核频次为每</w:t>
            </w:r>
            <w:r>
              <w:rPr>
                <w:rFonts w:hint="eastAsia"/>
                <w:sz w:val="21"/>
                <w:szCs w:val="21"/>
                <w:lang w:val="en-US" w:eastAsia="zh-CN"/>
              </w:rPr>
              <w:t>月</w:t>
            </w:r>
            <w:r>
              <w:rPr>
                <w:rFonts w:hint="eastAsia"/>
                <w:sz w:val="21"/>
                <w:szCs w:val="21"/>
              </w:rPr>
              <w:t>。</w:t>
            </w:r>
          </w:p>
          <w:p>
            <w:pPr>
              <w:pStyle w:val="12"/>
              <w:spacing w:line="360" w:lineRule="auto"/>
              <w:rPr>
                <w:sz w:val="21"/>
                <w:szCs w:val="21"/>
              </w:rPr>
            </w:pPr>
            <w:r>
              <w:rPr>
                <w:rFonts w:hint="eastAsia"/>
                <w:sz w:val="21"/>
                <w:szCs w:val="21"/>
                <w:lang w:val="en-US" w:eastAsia="zh-CN"/>
              </w:rPr>
              <w:t>2022年1月~11月</w:t>
            </w:r>
            <w:r>
              <w:rPr>
                <w:rFonts w:hint="eastAsia"/>
                <w:sz w:val="21"/>
                <w:szCs w:val="21"/>
              </w:rPr>
              <w:t>目标均完成。</w:t>
            </w:r>
          </w:p>
          <w:p>
            <w:pPr>
              <w:spacing w:line="360" w:lineRule="auto"/>
              <w:ind w:firstLine="420" w:firstLineChars="200"/>
              <w:rPr>
                <w:rFonts w:ascii="宋体" w:hAnsi="宋体"/>
                <w:sz w:val="21"/>
                <w:szCs w:val="21"/>
              </w:rPr>
            </w:pPr>
            <w:r>
              <w:rPr>
                <w:rFonts w:hint="eastAsia" w:asciiTheme="minorEastAsia" w:hAnsiTheme="minorEastAsia" w:eastAsiaTheme="minorEastAsia" w:cstheme="minorEastAsia"/>
                <w:sz w:val="21"/>
                <w:szCs w:val="21"/>
              </w:rPr>
              <w:t>目前未发现公司出现违规现象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无被动性绩效的监视和测量。</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23" w:type="dxa"/>
          </w:tcPr>
          <w:p>
            <w:pPr>
              <w:spacing w:line="360" w:lineRule="auto"/>
              <w:rPr>
                <w:rFonts w:ascii="宋体" w:hAnsi="宋体" w:cs="宋体"/>
                <w:sz w:val="21"/>
                <w:szCs w:val="21"/>
                <w:highlight w:val="none"/>
              </w:rPr>
            </w:pPr>
            <w:r>
              <w:rPr>
                <w:rFonts w:hint="eastAsia" w:ascii="宋体" w:hAnsi="宋体" w:cs="宋体"/>
                <w:sz w:val="21"/>
                <w:szCs w:val="21"/>
                <w:highlight w:val="none"/>
              </w:rPr>
              <w:t>管理评审</w:t>
            </w:r>
          </w:p>
          <w:p>
            <w:pPr>
              <w:spacing w:line="360" w:lineRule="auto"/>
              <w:rPr>
                <w:rFonts w:ascii="宋体" w:hAnsi="宋体" w:cs="宋体"/>
                <w:sz w:val="21"/>
                <w:szCs w:val="21"/>
                <w:highlight w:val="none"/>
              </w:rPr>
            </w:pPr>
          </w:p>
        </w:tc>
        <w:tc>
          <w:tcPr>
            <w:tcW w:w="1149" w:type="dxa"/>
          </w:tcPr>
          <w:p>
            <w:pPr>
              <w:spacing w:line="360" w:lineRule="auto"/>
              <w:rPr>
                <w:sz w:val="21"/>
                <w:szCs w:val="21"/>
                <w:highlight w:val="none"/>
              </w:rPr>
            </w:pPr>
            <w:r>
              <w:rPr>
                <w:rFonts w:hint="eastAsia"/>
                <w:sz w:val="21"/>
                <w:szCs w:val="21"/>
                <w:highlight w:val="none"/>
                <w:lang w:eastAsia="zh-CN"/>
              </w:rPr>
              <w:t>Q</w:t>
            </w:r>
            <w:r>
              <w:rPr>
                <w:rFonts w:hint="eastAsia"/>
                <w:sz w:val="21"/>
                <w:szCs w:val="21"/>
                <w:highlight w:val="none"/>
              </w:rPr>
              <w:t>9.3</w:t>
            </w:r>
          </w:p>
          <w:p>
            <w:pPr>
              <w:spacing w:line="360" w:lineRule="auto"/>
              <w:rPr>
                <w:sz w:val="21"/>
                <w:szCs w:val="21"/>
                <w:highlight w:val="none"/>
              </w:rPr>
            </w:pPr>
          </w:p>
          <w:p>
            <w:pPr>
              <w:spacing w:line="360" w:lineRule="auto"/>
              <w:rPr>
                <w:sz w:val="21"/>
                <w:szCs w:val="21"/>
                <w:highlight w:val="none"/>
              </w:rPr>
            </w:pPr>
          </w:p>
          <w:p>
            <w:pPr>
              <w:spacing w:line="360" w:lineRule="auto"/>
              <w:rPr>
                <w:sz w:val="21"/>
                <w:szCs w:val="21"/>
                <w:highlight w:val="none"/>
              </w:rPr>
            </w:pPr>
          </w:p>
        </w:tc>
        <w:tc>
          <w:tcPr>
            <w:tcW w:w="10785" w:type="dxa"/>
            <w:vAlign w:val="center"/>
          </w:tcPr>
          <w:p>
            <w:pPr>
              <w:spacing w:line="360" w:lineRule="auto"/>
              <w:ind w:firstLine="420" w:firstLineChars="200"/>
              <w:rPr>
                <w:rFonts w:hint="eastAsia"/>
              </w:rPr>
            </w:pPr>
            <w:r>
              <w:rPr>
                <w:rFonts w:hint="eastAsia"/>
              </w:rPr>
              <w:t>提供：</w:t>
            </w:r>
          </w:p>
          <w:p>
            <w:pPr>
              <w:spacing w:line="360" w:lineRule="auto"/>
              <w:ind w:firstLine="420" w:firstLineChars="200"/>
              <w:rPr>
                <w:rFonts w:hint="eastAsia"/>
              </w:rPr>
            </w:pPr>
            <w:r>
              <w:rPr>
                <w:rFonts w:hint="eastAsia"/>
              </w:rPr>
              <w:t>1.管理评审计划，</w:t>
            </w:r>
          </w:p>
          <w:p>
            <w:pPr>
              <w:spacing w:line="360" w:lineRule="auto"/>
              <w:ind w:firstLine="420" w:firstLineChars="200"/>
              <w:rPr>
                <w:rFonts w:hint="eastAsia"/>
              </w:rPr>
            </w:pPr>
            <w:r>
              <w:rPr>
                <w:rFonts w:hint="eastAsia"/>
              </w:rPr>
              <w:t>评审时间：计划2022年</w:t>
            </w:r>
            <w:r>
              <w:rPr>
                <w:rFonts w:hint="eastAsia"/>
                <w:lang w:val="en-US" w:eastAsia="zh-CN"/>
              </w:rPr>
              <w:t>12</w:t>
            </w:r>
            <w:r>
              <w:rPr>
                <w:rFonts w:hint="eastAsia"/>
              </w:rPr>
              <w:t>月</w:t>
            </w:r>
            <w:r>
              <w:rPr>
                <w:rFonts w:hint="eastAsia"/>
                <w:lang w:val="en-US" w:eastAsia="zh-CN"/>
              </w:rPr>
              <w:t>5</w:t>
            </w:r>
            <w:r>
              <w:rPr>
                <w:rFonts w:hint="eastAsia"/>
              </w:rPr>
              <w:t>日，评审方式：会</w:t>
            </w:r>
            <w:bookmarkStart w:id="2" w:name="_GoBack"/>
            <w:bookmarkEnd w:id="2"/>
            <w:r>
              <w:rPr>
                <w:rFonts w:hint="eastAsia"/>
              </w:rPr>
              <w:t>议评审。</w:t>
            </w:r>
          </w:p>
          <w:p>
            <w:pPr>
              <w:spacing w:line="360" w:lineRule="auto"/>
              <w:ind w:firstLine="420" w:firstLineChars="200"/>
              <w:rPr>
                <w:rFonts w:hint="eastAsia"/>
                <w:lang w:eastAsia="zh-CN"/>
              </w:rPr>
            </w:pPr>
            <w:r>
              <w:rPr>
                <w:rFonts w:hint="eastAsia"/>
              </w:rPr>
              <w:t>编制：</w:t>
            </w:r>
            <w:r>
              <w:rPr>
                <w:rFonts w:hint="eastAsia"/>
                <w:lang w:eastAsia="zh-CN"/>
              </w:rPr>
              <w:t>范成意</w:t>
            </w:r>
            <w:r>
              <w:rPr>
                <w:rFonts w:hint="eastAsia"/>
              </w:rPr>
              <w:t xml:space="preserve">  批准：</w:t>
            </w:r>
            <w:r>
              <w:rPr>
                <w:rFonts w:hint="eastAsia"/>
                <w:lang w:eastAsia="zh-CN"/>
              </w:rPr>
              <w:t>胡金亮</w:t>
            </w:r>
          </w:p>
          <w:p>
            <w:pPr>
              <w:spacing w:line="360" w:lineRule="auto"/>
              <w:ind w:firstLine="420" w:firstLineChars="200"/>
              <w:rPr>
                <w:rFonts w:hint="eastAsia"/>
              </w:rPr>
            </w:pPr>
            <w:r>
              <w:rPr>
                <w:rFonts w:hint="eastAsia"/>
              </w:rPr>
              <w:t>参加人员包括公司总经理、管理者代表、各部门负责人，</w:t>
            </w:r>
          </w:p>
          <w:p>
            <w:pPr>
              <w:spacing w:line="360" w:lineRule="auto"/>
              <w:ind w:firstLine="420" w:firstLineChars="200"/>
              <w:rPr>
                <w:rFonts w:hint="eastAsia"/>
              </w:rPr>
            </w:pPr>
            <w:r>
              <w:rPr>
                <w:rFonts w:hint="eastAsia"/>
              </w:rPr>
              <w:t>计划中明确了评审内容和资料准备要求。</w:t>
            </w:r>
          </w:p>
          <w:p>
            <w:pPr>
              <w:spacing w:line="360" w:lineRule="auto"/>
              <w:ind w:firstLine="420" w:firstLineChars="200"/>
              <w:rPr>
                <w:rFonts w:hint="eastAsia"/>
              </w:rPr>
            </w:pPr>
            <w:r>
              <w:rPr>
                <w:rFonts w:hint="eastAsia"/>
                <w:lang w:val="en-US" w:eastAsia="zh-CN"/>
              </w:rPr>
              <w:t>2.</w:t>
            </w:r>
            <w:r>
              <w:rPr>
                <w:rFonts w:hint="eastAsia"/>
              </w:rPr>
              <w:t>管理评审内容：</w:t>
            </w:r>
          </w:p>
          <w:p>
            <w:pPr>
              <w:spacing w:line="360" w:lineRule="auto"/>
              <w:ind w:leftChars="200"/>
              <w:rPr>
                <w:rFonts w:hint="eastAsia"/>
              </w:rPr>
            </w:pPr>
            <w:r>
              <w:rPr>
                <w:rFonts w:hint="eastAsia"/>
              </w:rPr>
              <w:t>1）与管理体系相关的内外部因素变化情况；</w:t>
            </w:r>
          </w:p>
          <w:p>
            <w:pPr>
              <w:spacing w:line="360" w:lineRule="auto"/>
              <w:ind w:leftChars="200"/>
              <w:rPr>
                <w:rFonts w:hint="eastAsia"/>
              </w:rPr>
            </w:pPr>
            <w:r>
              <w:rPr>
                <w:rFonts w:hint="eastAsia"/>
              </w:rPr>
              <w:t>2）顾客满意度情况，顾客及其它相关方的有关的信息反馈情况；</w:t>
            </w:r>
          </w:p>
          <w:p>
            <w:pPr>
              <w:spacing w:line="360" w:lineRule="auto"/>
              <w:ind w:leftChars="200"/>
              <w:rPr>
                <w:rFonts w:hint="eastAsia"/>
              </w:rPr>
            </w:pPr>
            <w:r>
              <w:rPr>
                <w:rFonts w:hint="eastAsia"/>
              </w:rPr>
              <w:t>3）由行政部对管理目标达成情况及公司管理运作总体状况进行分析总结；</w:t>
            </w:r>
          </w:p>
          <w:p>
            <w:pPr>
              <w:spacing w:line="360" w:lineRule="auto"/>
              <w:ind w:leftChars="200"/>
              <w:rPr>
                <w:rFonts w:hint="eastAsia"/>
              </w:rPr>
            </w:pPr>
            <w:r>
              <w:rPr>
                <w:rFonts w:hint="eastAsia"/>
              </w:rPr>
              <w:t>4）生产和服务运行过程控制状况，管理绩效情况；各部门对过程绩效进行分析总结；</w:t>
            </w:r>
          </w:p>
          <w:p>
            <w:pPr>
              <w:spacing w:line="360" w:lineRule="auto"/>
              <w:ind w:leftChars="200"/>
              <w:rPr>
                <w:rFonts w:hint="eastAsia"/>
              </w:rPr>
            </w:pPr>
            <w:r>
              <w:rPr>
                <w:rFonts w:hint="eastAsia"/>
              </w:rPr>
              <w:t>5）生产和服务的不合格情况，事故事件和统计分析报告，纠正措施实施状况；由管理体系负责人提出管理体系执行及修正状况并寻求改进的机会；</w:t>
            </w:r>
          </w:p>
          <w:p>
            <w:pPr>
              <w:spacing w:line="360" w:lineRule="auto"/>
              <w:ind w:leftChars="200"/>
              <w:rPr>
                <w:rFonts w:hint="eastAsia"/>
              </w:rPr>
            </w:pPr>
            <w:r>
              <w:rPr>
                <w:rFonts w:hint="eastAsia"/>
              </w:rPr>
              <w:t>6）生产和服务中的监视和测量情况；</w:t>
            </w:r>
          </w:p>
          <w:p>
            <w:pPr>
              <w:spacing w:line="360" w:lineRule="auto"/>
              <w:ind w:leftChars="200"/>
              <w:rPr>
                <w:rFonts w:hint="eastAsia"/>
              </w:rPr>
            </w:pPr>
            <w:r>
              <w:rPr>
                <w:rFonts w:hint="eastAsia"/>
              </w:rPr>
              <w:t>7）由管理体系负责人提出内外部审核结果及改善情况，并对审核中重大问题进行总结；</w:t>
            </w:r>
          </w:p>
          <w:p>
            <w:pPr>
              <w:spacing w:line="360" w:lineRule="auto"/>
              <w:ind w:leftChars="200"/>
              <w:rPr>
                <w:rFonts w:hint="eastAsia"/>
              </w:rPr>
            </w:pPr>
            <w:r>
              <w:rPr>
                <w:rFonts w:hint="eastAsia"/>
              </w:rPr>
              <w:t>8）外部供方的绩效情况；</w:t>
            </w:r>
          </w:p>
          <w:p>
            <w:pPr>
              <w:spacing w:line="360" w:lineRule="auto"/>
              <w:ind w:leftChars="200"/>
              <w:rPr>
                <w:rFonts w:hint="eastAsia"/>
              </w:rPr>
            </w:pPr>
            <w:r>
              <w:rPr>
                <w:rFonts w:hint="eastAsia"/>
              </w:rPr>
              <w:t>9）生产和服务资源的配置情况；</w:t>
            </w:r>
          </w:p>
          <w:p>
            <w:pPr>
              <w:spacing w:line="360" w:lineRule="auto"/>
              <w:ind w:leftChars="200"/>
              <w:rPr>
                <w:rFonts w:hint="eastAsia"/>
              </w:rPr>
            </w:pPr>
            <w:r>
              <w:rPr>
                <w:rFonts w:hint="eastAsia"/>
              </w:rPr>
              <w:t>10）应对风险和机遇的控制情况；</w:t>
            </w:r>
          </w:p>
          <w:p>
            <w:pPr>
              <w:spacing w:line="360" w:lineRule="auto"/>
              <w:ind w:leftChars="200"/>
              <w:rPr>
                <w:rFonts w:hint="eastAsia"/>
              </w:rPr>
            </w:pPr>
            <w:r>
              <w:rPr>
                <w:rFonts w:hint="eastAsia"/>
              </w:rPr>
              <w:t>11）各部门对管理体系改进提出建议。</w:t>
            </w:r>
          </w:p>
          <w:p>
            <w:pPr>
              <w:spacing w:line="360" w:lineRule="auto"/>
              <w:ind w:firstLine="420" w:firstLineChars="200"/>
              <w:rPr>
                <w:rFonts w:hint="default"/>
                <w:highlight w:val="none"/>
                <w:lang w:val="en-US" w:eastAsia="zh-CN"/>
              </w:rPr>
            </w:pPr>
            <w:r>
              <w:rPr>
                <w:rFonts w:hint="eastAsia"/>
                <w:highlight w:val="none"/>
                <w:lang w:val="en-US" w:eastAsia="zh-CN"/>
              </w:rPr>
              <w:t>3.提供有管评会议签到记录</w:t>
            </w:r>
          </w:p>
          <w:p>
            <w:pPr>
              <w:spacing w:line="360" w:lineRule="auto"/>
              <w:ind w:firstLine="420" w:firstLineChars="200"/>
              <w:rPr>
                <w:rFonts w:hint="eastAsia"/>
              </w:rPr>
            </w:pPr>
          </w:p>
          <w:p>
            <w:pPr>
              <w:pStyle w:val="2"/>
              <w:rPr>
                <w:rFonts w:hint="eastAsia"/>
              </w:rPr>
            </w:pPr>
          </w:p>
          <w:p>
            <w:pPr>
              <w:pStyle w:val="2"/>
              <w:rPr>
                <w:rFonts w:hint="eastAsia"/>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275590</wp:posOffset>
                  </wp:positionH>
                  <wp:positionV relativeFrom="paragraph">
                    <wp:posOffset>122555</wp:posOffset>
                  </wp:positionV>
                  <wp:extent cx="1671955" cy="2047875"/>
                  <wp:effectExtent l="0" t="0" r="4445" b="9525"/>
                  <wp:wrapNone/>
                  <wp:docPr id="3" name="图片 3" descr="1673351129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351129772"/>
                          <pic:cNvPicPr>
                            <a:picLocks noChangeAspect="1"/>
                          </pic:cNvPicPr>
                        </pic:nvPicPr>
                        <pic:blipFill>
                          <a:blip r:embed="rId7"/>
                          <a:stretch>
                            <a:fillRect/>
                          </a:stretch>
                        </pic:blipFill>
                        <pic:spPr>
                          <a:xfrm>
                            <a:off x="0" y="0"/>
                            <a:ext cx="1671955" cy="2047875"/>
                          </a:xfrm>
                          <a:prstGeom prst="rect">
                            <a:avLst/>
                          </a:prstGeom>
                        </pic:spPr>
                      </pic:pic>
                    </a:graphicData>
                  </a:graphic>
                </wp:anchor>
              </w:drawing>
            </w:r>
          </w:p>
          <w:p>
            <w:pPr>
              <w:pStyle w:val="2"/>
              <w:rPr>
                <w:rFonts w:hint="eastAsia" w:eastAsia="宋体"/>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pPr>
            <w:r>
              <w:rPr>
                <w:rFonts w:hint="eastAsia"/>
              </w:rPr>
              <w:t>总经理作会议总结</w:t>
            </w:r>
            <w:r>
              <w:rPr>
                <w:rFonts w:hint="eastAsia"/>
                <w:lang w:eastAsia="zh-CN"/>
              </w:rPr>
              <w:t>，</w:t>
            </w:r>
            <w:r>
              <w:rPr>
                <w:rFonts w:hint="eastAsia"/>
              </w:rPr>
              <w:t>提供管理评审报告。</w:t>
            </w:r>
          </w:p>
          <w:p>
            <w:pPr>
              <w:spacing w:line="360" w:lineRule="auto"/>
              <w:ind w:firstLine="420" w:firstLineChars="200"/>
            </w:pPr>
            <w:r>
              <w:rPr>
                <w:rFonts w:hint="eastAsia"/>
              </w:rPr>
              <w:t>管理评审结论：本公司的管理体系与标准的要求一致，体系策划是充分的，体系文件与公司目前的现状相一致，是适宜，体系经过现阶段的运行是有效的</w:t>
            </w:r>
            <w:r>
              <w:t>。</w:t>
            </w:r>
          </w:p>
          <w:p>
            <w:pPr>
              <w:spacing w:line="360" w:lineRule="auto"/>
              <w:ind w:firstLine="420" w:firstLineChars="200"/>
              <w:rPr>
                <w:rFonts w:hint="eastAsia"/>
              </w:rPr>
            </w:pPr>
            <w:r>
              <w:rPr>
                <w:rFonts w:hint="eastAsia"/>
              </w:rPr>
              <w:t>公司在质量体系运行中，经过全体职工的共同努力和大家的支持和积极的配合，基本上完成了我们前期的工作，成绩是肯定的。</w:t>
            </w:r>
            <w:r>
              <w:t>但为了更好的运行体系，特提出</w:t>
            </w:r>
            <w:r>
              <w:rPr>
                <w:rFonts w:hint="eastAsia"/>
              </w:rPr>
              <w:t>纠正措施</w:t>
            </w:r>
            <w:r>
              <w:rPr>
                <w:rFonts w:hint="eastAsia"/>
                <w:lang w:eastAsia="zh-CN"/>
              </w:rPr>
              <w:t>：</w:t>
            </w:r>
            <w:r>
              <w:rPr>
                <w:rFonts w:hint="eastAsia"/>
              </w:rPr>
              <w:t>目前公司的产品还不够全面,要求相关部门采取措施.开发更多更符合市场的产品。</w:t>
            </w:r>
          </w:p>
          <w:p>
            <w:pPr>
              <w:spacing w:line="360" w:lineRule="auto"/>
              <w:ind w:firstLine="420" w:firstLineChars="200"/>
              <w:rPr>
                <w:rFonts w:hint="default" w:eastAsia="宋体"/>
                <w:lang w:val="en-US" w:eastAsia="zh-CN"/>
              </w:rPr>
            </w:pPr>
            <w:r>
              <w:rPr>
                <w:rFonts w:hint="eastAsia"/>
                <w:lang w:val="en-US" w:eastAsia="zh-CN"/>
              </w:rPr>
              <w:t>管理评审控制基本符合要求。</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023" w:type="dxa"/>
          </w:tcPr>
          <w:p>
            <w:pPr>
              <w:spacing w:line="360" w:lineRule="auto"/>
              <w:rPr>
                <w:rFonts w:ascii="宋体" w:hAnsi="宋体" w:cs="宋体"/>
                <w:sz w:val="21"/>
                <w:szCs w:val="21"/>
              </w:rPr>
            </w:pPr>
            <w:r>
              <w:rPr>
                <w:rFonts w:hint="eastAsia" w:ascii="宋体" w:hAnsi="宋体" w:cs="宋体"/>
                <w:sz w:val="21"/>
                <w:szCs w:val="21"/>
              </w:rPr>
              <w:t>改进</w:t>
            </w:r>
            <w:r>
              <w:rPr>
                <w:rFonts w:hint="eastAsia" w:ascii="宋体" w:hAnsi="宋体" w:cs="宋体"/>
                <w:sz w:val="21"/>
                <w:szCs w:val="21"/>
                <w:lang w:val="en-US" w:eastAsia="zh-CN"/>
              </w:rPr>
              <w:t xml:space="preserve"> </w:t>
            </w:r>
            <w:r>
              <w:rPr>
                <w:rFonts w:hint="eastAsia" w:ascii="宋体" w:hAnsi="宋体" w:cs="宋体"/>
                <w:sz w:val="21"/>
                <w:szCs w:val="21"/>
              </w:rPr>
              <w:t>总则</w:t>
            </w:r>
          </w:p>
          <w:p>
            <w:pPr>
              <w:spacing w:line="360" w:lineRule="auto"/>
              <w:rPr>
                <w:rFonts w:ascii="宋体" w:hAnsi="宋体" w:cs="宋体"/>
                <w:sz w:val="21"/>
                <w:szCs w:val="21"/>
              </w:rPr>
            </w:pPr>
          </w:p>
        </w:tc>
        <w:tc>
          <w:tcPr>
            <w:tcW w:w="1149" w:type="dxa"/>
          </w:tcPr>
          <w:p>
            <w:pPr>
              <w:spacing w:line="360" w:lineRule="auto"/>
              <w:rPr>
                <w:sz w:val="21"/>
                <w:szCs w:val="21"/>
              </w:rPr>
            </w:pPr>
            <w:r>
              <w:rPr>
                <w:rFonts w:hint="eastAsia"/>
                <w:sz w:val="21"/>
                <w:szCs w:val="21"/>
                <w:lang w:eastAsia="zh-CN"/>
              </w:rPr>
              <w:t>Q</w:t>
            </w:r>
            <w:r>
              <w:rPr>
                <w:rFonts w:hint="eastAsia"/>
                <w:sz w:val="21"/>
                <w:szCs w:val="21"/>
              </w:rPr>
              <w:t>10.1</w:t>
            </w:r>
          </w:p>
          <w:p>
            <w:pPr>
              <w:spacing w:line="360" w:lineRule="auto"/>
              <w:rPr>
                <w:sz w:val="21"/>
                <w:szCs w:val="21"/>
              </w:rPr>
            </w:pPr>
          </w:p>
        </w:tc>
        <w:tc>
          <w:tcPr>
            <w:tcW w:w="10785" w:type="dxa"/>
          </w:tcPr>
          <w:p>
            <w:pPr>
              <w:spacing w:line="360" w:lineRule="auto"/>
              <w:ind w:firstLine="420" w:firstLineChars="200"/>
              <w:rPr>
                <w:rFonts w:ascii="宋体" w:hAnsi="宋体" w:cs="宋体"/>
                <w:sz w:val="21"/>
                <w:szCs w:val="21"/>
              </w:rPr>
            </w:pPr>
            <w:r>
              <w:rPr>
                <w:rFonts w:hint="eastAsia" w:ascii="宋体" w:hAnsi="宋体" w:cs="宋体"/>
                <w:sz w:val="21"/>
                <w:szCs w:val="21"/>
              </w:rPr>
              <w:t xml:space="preserve">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 在应关注的持续改进的需求和机遇。  </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23" w:type="dxa"/>
          </w:tcPr>
          <w:p>
            <w:pPr>
              <w:spacing w:line="360" w:lineRule="auto"/>
              <w:rPr>
                <w:rFonts w:ascii="宋体" w:hAnsi="宋体" w:cs="宋体"/>
                <w:sz w:val="21"/>
                <w:szCs w:val="21"/>
              </w:rPr>
            </w:pPr>
            <w:r>
              <w:rPr>
                <w:rFonts w:hint="eastAsia" w:ascii="宋体" w:hAnsi="宋体" w:cs="宋体"/>
                <w:sz w:val="21"/>
                <w:szCs w:val="21"/>
              </w:rPr>
              <w:t>持续改进</w:t>
            </w:r>
          </w:p>
        </w:tc>
        <w:tc>
          <w:tcPr>
            <w:tcW w:w="1149" w:type="dxa"/>
          </w:tcPr>
          <w:p>
            <w:pPr>
              <w:spacing w:line="360" w:lineRule="auto"/>
              <w:rPr>
                <w:sz w:val="21"/>
                <w:szCs w:val="21"/>
              </w:rPr>
            </w:pPr>
            <w:r>
              <w:rPr>
                <w:rFonts w:hint="eastAsia"/>
                <w:sz w:val="21"/>
                <w:szCs w:val="21"/>
                <w:lang w:eastAsia="zh-CN"/>
              </w:rPr>
              <w:t>Q</w:t>
            </w:r>
            <w:r>
              <w:rPr>
                <w:rFonts w:hint="eastAsia"/>
                <w:sz w:val="21"/>
                <w:szCs w:val="21"/>
              </w:rPr>
              <w:t>10.3</w:t>
            </w:r>
          </w:p>
        </w:tc>
        <w:tc>
          <w:tcPr>
            <w:tcW w:w="10785"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w:t>
            </w:r>
            <w:r>
              <w:rPr>
                <w:rFonts w:hint="eastAsia" w:ascii="宋体" w:hAnsi="宋体" w:eastAsia="宋体" w:cs="宋体"/>
                <w:sz w:val="21"/>
                <w:szCs w:val="21"/>
                <w:lang w:eastAsia="zh-CN"/>
              </w:rPr>
              <w:t>质量</w:t>
            </w:r>
            <w:r>
              <w:rPr>
                <w:rFonts w:hint="eastAsia" w:ascii="宋体" w:hAnsi="宋体" w:eastAsia="宋体" w:cs="宋体"/>
                <w:sz w:val="21"/>
                <w:szCs w:val="21"/>
              </w:rPr>
              <w:t>管理体系实现预期结果和提高顾客满意，公司识别并选择改进的机会，采取包括改进产品和服务，纠正、预防或减少非预期情况给组织带来的不利影响等措施，改进体系的绩效和有效性。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根据不同过程、不同产品和不同要求，采取不同的方法进行监视、测量和分析。</w:t>
            </w:r>
          </w:p>
          <w:p>
            <w:pPr>
              <w:spacing w:line="360" w:lineRule="auto"/>
              <w:ind w:firstLine="420" w:firstLineChars="200"/>
              <w:rPr>
                <w:rFonts w:ascii="宋体" w:hAnsi="宋体" w:cs="宋体"/>
                <w:sz w:val="21"/>
                <w:szCs w:val="21"/>
              </w:rPr>
            </w:pPr>
            <w:r>
              <w:rPr>
                <w:rFonts w:hint="eastAsia" w:ascii="宋体" w:hAnsi="宋体" w:eastAsia="宋体" w:cs="宋体"/>
                <w:sz w:val="21"/>
                <w:szCs w:val="21"/>
              </w:rPr>
              <w:t>公司利用管理方针、目标、内审和外审、数据分析、纠正和预防措施以及管理评审，识别任何改进的机会，持续改进管理体系的适宜性、充分性和有效性。详见相关条款审核记录。</w:t>
            </w:r>
          </w:p>
        </w:tc>
        <w:tc>
          <w:tcPr>
            <w:tcW w:w="752" w:type="dxa"/>
          </w:tcPr>
          <w:p>
            <w:pPr>
              <w:spacing w:line="360" w:lineRule="auto"/>
              <w:rPr>
                <w:sz w:val="21"/>
                <w:szCs w:val="21"/>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23" w:type="dxa"/>
          </w:tcPr>
          <w:p>
            <w:pPr>
              <w:spacing w:line="360" w:lineRule="auto"/>
              <w:rPr>
                <w:rFonts w:ascii="宋体" w:hAnsi="宋体" w:cs="宋体"/>
                <w:sz w:val="21"/>
                <w:szCs w:val="21"/>
              </w:rPr>
            </w:pPr>
            <w:r>
              <w:rPr>
                <w:rFonts w:hint="eastAsia" w:ascii="宋体" w:hAnsi="宋体" w:cs="宋体"/>
                <w:sz w:val="21"/>
                <w:szCs w:val="21"/>
              </w:rPr>
              <w:t>标准/规范/法规的执行情况、上次审核不符合项的验证、认证证书、标志的使用情况、投诉或事故、监督抽查情况、体系变动</w:t>
            </w:r>
          </w:p>
        </w:tc>
        <w:tc>
          <w:tcPr>
            <w:tcW w:w="1149" w:type="dxa"/>
          </w:tcPr>
          <w:p>
            <w:pPr>
              <w:spacing w:line="360" w:lineRule="auto"/>
              <w:rPr>
                <w:sz w:val="21"/>
                <w:szCs w:val="21"/>
              </w:rPr>
            </w:pPr>
          </w:p>
        </w:tc>
        <w:tc>
          <w:tcPr>
            <w:tcW w:w="10785" w:type="dxa"/>
            <w:vAlign w:val="center"/>
          </w:tcPr>
          <w:p>
            <w:pPr>
              <w:spacing w:line="360" w:lineRule="auto"/>
              <w:ind w:firstLine="420" w:firstLineChars="200"/>
              <w:rPr>
                <w:rFonts w:hint="eastAsia"/>
                <w:sz w:val="21"/>
                <w:szCs w:val="21"/>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4272280</wp:posOffset>
                  </wp:positionH>
                  <wp:positionV relativeFrom="paragraph">
                    <wp:posOffset>313055</wp:posOffset>
                  </wp:positionV>
                  <wp:extent cx="2298700" cy="1275715"/>
                  <wp:effectExtent l="0" t="0" r="0" b="6985"/>
                  <wp:wrapNone/>
                  <wp:docPr id="7" name="图片 7" descr="167247945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2479454960"/>
                          <pic:cNvPicPr>
                            <a:picLocks noChangeAspect="1"/>
                          </pic:cNvPicPr>
                        </pic:nvPicPr>
                        <pic:blipFill>
                          <a:blip r:embed="rId8"/>
                          <a:stretch>
                            <a:fillRect/>
                          </a:stretch>
                        </pic:blipFill>
                        <pic:spPr>
                          <a:xfrm>
                            <a:off x="0" y="0"/>
                            <a:ext cx="2298700" cy="1275715"/>
                          </a:xfrm>
                          <a:prstGeom prst="rect">
                            <a:avLst/>
                          </a:prstGeom>
                        </pic:spPr>
                      </pic:pic>
                    </a:graphicData>
                  </a:graphic>
                </wp:anchor>
              </w:drawing>
            </w:r>
            <w:r>
              <w:rPr>
                <w:rFonts w:hint="eastAsia"/>
                <w:sz w:val="21"/>
                <w:szCs w:val="21"/>
              </w:rPr>
              <w:t>查国家企业信用公示系统，网站信息查询如下：</w:t>
            </w:r>
          </w:p>
          <w:p>
            <w:pPr>
              <w:pStyle w:val="12"/>
              <w:spacing w:line="360" w:lineRule="auto"/>
              <w:rPr>
                <w:rFonts w:hint="eastAsia" w:eastAsia="宋体"/>
                <w:sz w:val="21"/>
                <w:szCs w:val="21"/>
                <w:lang w:eastAsia="zh-CN"/>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2181225</wp:posOffset>
                  </wp:positionH>
                  <wp:positionV relativeFrom="paragraph">
                    <wp:posOffset>102870</wp:posOffset>
                  </wp:positionV>
                  <wp:extent cx="2048510" cy="1146175"/>
                  <wp:effectExtent l="0" t="0" r="8890" b="9525"/>
                  <wp:wrapNone/>
                  <wp:docPr id="6" name="图片 6" descr="167247940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72479407297"/>
                          <pic:cNvPicPr>
                            <a:picLocks noChangeAspect="1"/>
                          </pic:cNvPicPr>
                        </pic:nvPicPr>
                        <pic:blipFill>
                          <a:blip r:embed="rId9"/>
                          <a:stretch>
                            <a:fillRect/>
                          </a:stretch>
                        </pic:blipFill>
                        <pic:spPr>
                          <a:xfrm>
                            <a:off x="0" y="0"/>
                            <a:ext cx="2048510" cy="114617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67945</wp:posOffset>
                  </wp:positionV>
                  <wp:extent cx="2165350" cy="1176020"/>
                  <wp:effectExtent l="0" t="0" r="6350" b="5080"/>
                  <wp:wrapNone/>
                  <wp:docPr id="5" name="图片 5" descr="167247935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2479355437"/>
                          <pic:cNvPicPr>
                            <a:picLocks noChangeAspect="1"/>
                          </pic:cNvPicPr>
                        </pic:nvPicPr>
                        <pic:blipFill>
                          <a:blip r:embed="rId10"/>
                          <a:stretch>
                            <a:fillRect/>
                          </a:stretch>
                        </pic:blipFill>
                        <pic:spPr>
                          <a:xfrm>
                            <a:off x="0" y="0"/>
                            <a:ext cx="2165350" cy="1176020"/>
                          </a:xfrm>
                          <a:prstGeom prst="rect">
                            <a:avLst/>
                          </a:prstGeom>
                        </pic:spPr>
                      </pic:pic>
                    </a:graphicData>
                  </a:graphic>
                </wp:anchor>
              </w:drawing>
            </w:r>
          </w:p>
          <w:p>
            <w:pPr>
              <w:pStyle w:val="12"/>
              <w:spacing w:line="360" w:lineRule="auto"/>
              <w:rPr>
                <w:rFonts w:hint="eastAsia"/>
                <w:sz w:val="21"/>
                <w:szCs w:val="21"/>
              </w:rPr>
            </w:pPr>
          </w:p>
          <w:p>
            <w:pPr>
              <w:pStyle w:val="12"/>
              <w:spacing w:line="360" w:lineRule="auto"/>
              <w:rPr>
                <w:rFonts w:hint="eastAsia" w:eastAsia="宋体"/>
                <w:sz w:val="21"/>
                <w:szCs w:val="21"/>
                <w:lang w:eastAsia="zh-CN"/>
              </w:rPr>
            </w:pPr>
          </w:p>
          <w:p>
            <w:pPr>
              <w:pStyle w:val="12"/>
              <w:spacing w:line="360" w:lineRule="auto"/>
              <w:rPr>
                <w:rFonts w:hint="eastAsia" w:eastAsia="宋体"/>
                <w:sz w:val="21"/>
                <w:szCs w:val="21"/>
                <w:lang w:eastAsia="zh-CN"/>
              </w:rPr>
            </w:pP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目前公司经营过程中没有发生违反其它相关法律法规及其他要求的情况，无行政处罚信息，未列入严重违法失信名单。</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上次审核不符合项经验证，措施有效。</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认证证书、标志</w:t>
            </w:r>
            <w:r>
              <w:rPr>
                <w:rFonts w:hint="eastAsia" w:ascii="Times New Roman" w:hAnsi="Times New Roman" w:eastAsia="宋体" w:cs="Times New Roman"/>
                <w:sz w:val="21"/>
                <w:szCs w:val="21"/>
                <w:lang w:val="en-US" w:eastAsia="zh-CN"/>
              </w:rPr>
              <w:t>用于招投标、网站宣传等。</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公司管理体系自运行以来，未发生</w:t>
            </w:r>
            <w:r>
              <w:rPr>
                <w:rFonts w:hint="eastAsia" w:ascii="Times New Roman" w:hAnsi="Times New Roman" w:eastAsia="宋体" w:cs="Times New Roman"/>
                <w:sz w:val="21"/>
                <w:szCs w:val="21"/>
                <w:lang w:eastAsia="zh-CN"/>
              </w:rPr>
              <w:t>质量</w:t>
            </w:r>
            <w:r>
              <w:rPr>
                <w:rFonts w:hint="eastAsia" w:ascii="Times New Roman" w:hAnsi="Times New Roman" w:eastAsia="宋体" w:cs="Times New Roman"/>
                <w:sz w:val="21"/>
                <w:szCs w:val="21"/>
              </w:rPr>
              <w:t>事故</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管理体系运行期间未发生顾客及相关方投诉情况</w:t>
            </w:r>
            <w:r>
              <w:rPr>
                <w:rFonts w:hint="eastAsia" w:ascii="Times New Roman" w:hAnsi="Times New Roman" w:eastAsia="宋体" w:cs="Times New Roman"/>
                <w:sz w:val="21"/>
                <w:szCs w:val="21"/>
                <w:lang w:eastAsia="zh-CN"/>
              </w:rPr>
              <w:t>。</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未发生相关部门监督抽查情况。</w:t>
            </w:r>
          </w:p>
          <w:p>
            <w:pPr>
              <w:spacing w:line="360" w:lineRule="auto"/>
              <w:ind w:firstLine="420" w:firstLineChars="200"/>
              <w:rPr>
                <w:rFonts w:hint="default" w:eastAsia="宋体"/>
                <w:sz w:val="21"/>
                <w:szCs w:val="21"/>
                <w:lang w:val="en-US" w:eastAsia="zh-CN"/>
              </w:rPr>
            </w:pPr>
            <w:r>
              <w:rPr>
                <w:rFonts w:hint="eastAsia" w:ascii="Times New Roman" w:hAnsi="Times New Roman" w:eastAsia="宋体" w:cs="Times New Roman"/>
                <w:sz w:val="21"/>
                <w:szCs w:val="21"/>
                <w:lang w:val="en-US" w:eastAsia="zh-CN"/>
              </w:rPr>
              <w:t>管理体系运行期间未发生变更。</w:t>
            </w:r>
          </w:p>
        </w:tc>
        <w:tc>
          <w:tcPr>
            <w:tcW w:w="752" w:type="dxa"/>
          </w:tcPr>
          <w:p>
            <w:pPr>
              <w:spacing w:line="360" w:lineRule="auto"/>
              <w:rPr>
                <w:sz w:val="21"/>
                <w:szCs w:val="21"/>
              </w:rPr>
            </w:pPr>
            <w:r>
              <w:rPr>
                <w:rFonts w:hint="eastAsia"/>
                <w:sz w:val="21"/>
                <w:szCs w:val="21"/>
              </w:rPr>
              <w:t>符合</w:t>
            </w: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9A1C"/>
    <w:multiLevelType w:val="singleLevel"/>
    <w:tmpl w:val="A79E9A1C"/>
    <w:lvl w:ilvl="0" w:tentative="0">
      <w:start w:val="1"/>
      <w:numFmt w:val="decimal"/>
      <w:suff w:val="nothing"/>
      <w:lvlText w:val="%1．"/>
      <w:lvlJc w:val="left"/>
      <w:pPr>
        <w:ind w:left="0" w:firstLine="400"/>
      </w:pPr>
      <w:rPr>
        <w:rFonts w:hint="default"/>
      </w:rPr>
    </w:lvl>
  </w:abstractNum>
  <w:abstractNum w:abstractNumId="1">
    <w:nsid w:val="AF087F88"/>
    <w:multiLevelType w:val="singleLevel"/>
    <w:tmpl w:val="AF087F88"/>
    <w:lvl w:ilvl="0" w:tentative="0">
      <w:start w:val="1"/>
      <w:numFmt w:val="decimal"/>
      <w:suff w:val="nothing"/>
      <w:lvlText w:val="%1）"/>
      <w:lvlJc w:val="left"/>
      <w:pPr>
        <w:ind w:left="420"/>
      </w:pPr>
    </w:lvl>
  </w:abstractNum>
  <w:abstractNum w:abstractNumId="2">
    <w:nsid w:val="68482BF6"/>
    <w:multiLevelType w:val="singleLevel"/>
    <w:tmpl w:val="68482BF6"/>
    <w:lvl w:ilvl="0" w:tentative="0">
      <w:start w:val="1"/>
      <w:numFmt w:val="decimal"/>
      <w:suff w:val="nothing"/>
      <w:lvlText w:val="%1．"/>
      <w:lvlJc w:val="left"/>
      <w:pPr>
        <w:ind w:left="25"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23351"/>
    <w:rsid w:val="0033182F"/>
    <w:rsid w:val="00337922"/>
    <w:rsid w:val="0034065E"/>
    <w:rsid w:val="00340867"/>
    <w:rsid w:val="0037469A"/>
    <w:rsid w:val="00376191"/>
    <w:rsid w:val="00380837"/>
    <w:rsid w:val="003907D0"/>
    <w:rsid w:val="003A0C32"/>
    <w:rsid w:val="003A198A"/>
    <w:rsid w:val="003A699C"/>
    <w:rsid w:val="003B676E"/>
    <w:rsid w:val="003D1B53"/>
    <w:rsid w:val="003D4ACE"/>
    <w:rsid w:val="003F0455"/>
    <w:rsid w:val="003F15E9"/>
    <w:rsid w:val="00410914"/>
    <w:rsid w:val="0043136D"/>
    <w:rsid w:val="004502C9"/>
    <w:rsid w:val="00456DCB"/>
    <w:rsid w:val="004642DE"/>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1019A"/>
    <w:rsid w:val="00923F05"/>
    <w:rsid w:val="00935977"/>
    <w:rsid w:val="0094042F"/>
    <w:rsid w:val="00940E1C"/>
    <w:rsid w:val="009537C9"/>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B0472"/>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001C"/>
    <w:rsid w:val="00C23F26"/>
    <w:rsid w:val="00C35090"/>
    <w:rsid w:val="00C360DB"/>
    <w:rsid w:val="00C469A2"/>
    <w:rsid w:val="00C51A36"/>
    <w:rsid w:val="00C55228"/>
    <w:rsid w:val="00C72608"/>
    <w:rsid w:val="00C7523D"/>
    <w:rsid w:val="00C93528"/>
    <w:rsid w:val="00CA4F9A"/>
    <w:rsid w:val="00CA7F00"/>
    <w:rsid w:val="00CD0AC8"/>
    <w:rsid w:val="00CE2833"/>
    <w:rsid w:val="00CE315A"/>
    <w:rsid w:val="00CF3914"/>
    <w:rsid w:val="00D03677"/>
    <w:rsid w:val="00D06F59"/>
    <w:rsid w:val="00D17159"/>
    <w:rsid w:val="00D231E4"/>
    <w:rsid w:val="00D51CF2"/>
    <w:rsid w:val="00D675BB"/>
    <w:rsid w:val="00D8388C"/>
    <w:rsid w:val="00D939C1"/>
    <w:rsid w:val="00DB43B7"/>
    <w:rsid w:val="00DC00A1"/>
    <w:rsid w:val="00DD1730"/>
    <w:rsid w:val="00DF183A"/>
    <w:rsid w:val="00E14414"/>
    <w:rsid w:val="00E32F02"/>
    <w:rsid w:val="00E817FC"/>
    <w:rsid w:val="00E92AF2"/>
    <w:rsid w:val="00E96115"/>
    <w:rsid w:val="00E967B5"/>
    <w:rsid w:val="00EA049F"/>
    <w:rsid w:val="00EA6EBE"/>
    <w:rsid w:val="00EB0164"/>
    <w:rsid w:val="00EB17A8"/>
    <w:rsid w:val="00EC1457"/>
    <w:rsid w:val="00EC7001"/>
    <w:rsid w:val="00ED0F62"/>
    <w:rsid w:val="00F00EFC"/>
    <w:rsid w:val="00F45F9F"/>
    <w:rsid w:val="00F8791E"/>
    <w:rsid w:val="00F96918"/>
    <w:rsid w:val="00FA636A"/>
    <w:rsid w:val="00FB7B9D"/>
    <w:rsid w:val="00FC5006"/>
    <w:rsid w:val="00FE2303"/>
    <w:rsid w:val="00FF4E2A"/>
    <w:rsid w:val="02B84719"/>
    <w:rsid w:val="03455F4E"/>
    <w:rsid w:val="03640893"/>
    <w:rsid w:val="069E7BAA"/>
    <w:rsid w:val="06B37672"/>
    <w:rsid w:val="087032D5"/>
    <w:rsid w:val="0990707C"/>
    <w:rsid w:val="09F832E0"/>
    <w:rsid w:val="0AD61B81"/>
    <w:rsid w:val="0AE65CCB"/>
    <w:rsid w:val="0B250CFE"/>
    <w:rsid w:val="0D6D2374"/>
    <w:rsid w:val="0DB71123"/>
    <w:rsid w:val="0F275B6F"/>
    <w:rsid w:val="0F2E5AE8"/>
    <w:rsid w:val="0FB77A13"/>
    <w:rsid w:val="102A2CE8"/>
    <w:rsid w:val="108219C2"/>
    <w:rsid w:val="113A015C"/>
    <w:rsid w:val="13A22600"/>
    <w:rsid w:val="15AB31D4"/>
    <w:rsid w:val="16351E52"/>
    <w:rsid w:val="170D1054"/>
    <w:rsid w:val="173343B0"/>
    <w:rsid w:val="1DD20420"/>
    <w:rsid w:val="1EF245B4"/>
    <w:rsid w:val="201C35DE"/>
    <w:rsid w:val="20A51982"/>
    <w:rsid w:val="23696C97"/>
    <w:rsid w:val="24A8607E"/>
    <w:rsid w:val="24FE116D"/>
    <w:rsid w:val="25EB74EE"/>
    <w:rsid w:val="26F86213"/>
    <w:rsid w:val="28491A9D"/>
    <w:rsid w:val="2C442CCA"/>
    <w:rsid w:val="2D807A3F"/>
    <w:rsid w:val="2E4E2574"/>
    <w:rsid w:val="30A27C87"/>
    <w:rsid w:val="312266EE"/>
    <w:rsid w:val="334D3132"/>
    <w:rsid w:val="34524295"/>
    <w:rsid w:val="34ED1C2F"/>
    <w:rsid w:val="351279DA"/>
    <w:rsid w:val="358D0F0B"/>
    <w:rsid w:val="391A76DA"/>
    <w:rsid w:val="39A30999"/>
    <w:rsid w:val="3CE33B06"/>
    <w:rsid w:val="3DAC16ED"/>
    <w:rsid w:val="3E03163F"/>
    <w:rsid w:val="3E183177"/>
    <w:rsid w:val="3EF94582"/>
    <w:rsid w:val="3F66293E"/>
    <w:rsid w:val="41C05420"/>
    <w:rsid w:val="42136665"/>
    <w:rsid w:val="438057C2"/>
    <w:rsid w:val="483B2A48"/>
    <w:rsid w:val="49457AAB"/>
    <w:rsid w:val="4A5F6016"/>
    <w:rsid w:val="4D2860C7"/>
    <w:rsid w:val="4DE94ACF"/>
    <w:rsid w:val="4E8C1C52"/>
    <w:rsid w:val="50AE1FD3"/>
    <w:rsid w:val="52447F1C"/>
    <w:rsid w:val="545A60E8"/>
    <w:rsid w:val="54836A19"/>
    <w:rsid w:val="59540730"/>
    <w:rsid w:val="59682F71"/>
    <w:rsid w:val="59F14D15"/>
    <w:rsid w:val="5B270D40"/>
    <w:rsid w:val="5BAD65A6"/>
    <w:rsid w:val="5C9406EC"/>
    <w:rsid w:val="5EA12B9A"/>
    <w:rsid w:val="5EC3719B"/>
    <w:rsid w:val="5F1762DB"/>
    <w:rsid w:val="5FA01420"/>
    <w:rsid w:val="6147060A"/>
    <w:rsid w:val="61572249"/>
    <w:rsid w:val="61DC0836"/>
    <w:rsid w:val="62F43393"/>
    <w:rsid w:val="64504434"/>
    <w:rsid w:val="64763F32"/>
    <w:rsid w:val="67202610"/>
    <w:rsid w:val="68B5413B"/>
    <w:rsid w:val="6991333C"/>
    <w:rsid w:val="6A403FC3"/>
    <w:rsid w:val="6CFB6932"/>
    <w:rsid w:val="6D2C467F"/>
    <w:rsid w:val="6EEF7A0A"/>
    <w:rsid w:val="6F413833"/>
    <w:rsid w:val="705747FD"/>
    <w:rsid w:val="71474E7E"/>
    <w:rsid w:val="72C70F1A"/>
    <w:rsid w:val="74821EB4"/>
    <w:rsid w:val="775101C6"/>
    <w:rsid w:val="7A745DF5"/>
    <w:rsid w:val="7AD02CAD"/>
    <w:rsid w:val="7AE8376A"/>
    <w:rsid w:val="7B0316AB"/>
    <w:rsid w:val="7BF344C5"/>
    <w:rsid w:val="7BFB0B28"/>
    <w:rsid w:val="7CB22D97"/>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link w:val="22"/>
    <w:semiHidden/>
    <w:unhideWhenUsed/>
    <w:qFormat/>
    <w:uiPriority w:val="99"/>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23"/>
    <w:semiHidden/>
    <w:unhideWhenUsed/>
    <w:qFormat/>
    <w:uiPriority w:val="99"/>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info-content-text"/>
    <w:basedOn w:val="11"/>
    <w:qFormat/>
    <w:uiPriority w:val="0"/>
  </w:style>
  <w:style w:type="character" w:customStyle="1" w:styleId="18">
    <w:name w:val="info-expand-btn"/>
    <w:basedOn w:val="11"/>
    <w:qFormat/>
    <w:uiPriority w:val="0"/>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 w:type="paragraph" w:styleId="20">
    <w:name w:val="List Paragraph"/>
    <w:basedOn w:val="1"/>
    <w:qFormat/>
    <w:uiPriority w:val="99"/>
    <w:pPr>
      <w:ind w:firstLine="420" w:firstLineChars="200"/>
    </w:pPr>
  </w:style>
  <w:style w:type="paragraph" w:customStyle="1" w:styleId="21">
    <w:name w:val=" Char Char Char Char"/>
    <w:basedOn w:val="1"/>
    <w:qFormat/>
    <w:uiPriority w:val="0"/>
    <w:rPr>
      <w:rFonts w:ascii="Tahoma" w:hAnsi="Tahoma"/>
      <w:sz w:val="24"/>
    </w:rPr>
  </w:style>
  <w:style w:type="character" w:customStyle="1" w:styleId="22">
    <w:name w:val="正文文本缩进 Char"/>
    <w:basedOn w:val="11"/>
    <w:link w:val="4"/>
    <w:semiHidden/>
    <w:qFormat/>
    <w:uiPriority w:val="99"/>
    <w:rPr>
      <w:kern w:val="2"/>
      <w:sz w:val="21"/>
    </w:rPr>
  </w:style>
  <w:style w:type="character" w:customStyle="1" w:styleId="23">
    <w:name w:val="正文首行缩进 2 Char"/>
    <w:basedOn w:val="22"/>
    <w:link w:val="8"/>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F1D25-903A-4C22-818C-234F727730B6}">
  <ds:schemaRefs/>
</ds:datastoreItem>
</file>

<file path=docProps/app.xml><?xml version="1.0" encoding="utf-8"?>
<Properties xmlns="http://schemas.openxmlformats.org/officeDocument/2006/extended-properties" xmlns:vt="http://schemas.openxmlformats.org/officeDocument/2006/docPropsVTypes">
  <Template>Normal</Template>
  <Pages>11</Pages>
  <Words>1210</Words>
  <Characters>6900</Characters>
  <Lines>57</Lines>
  <Paragraphs>16</Paragraphs>
  <TotalTime>1</TotalTime>
  <ScaleCrop>false</ScaleCrop>
  <LinksUpToDate>false</LinksUpToDate>
  <CharactersWithSpaces>8094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xb21cn</dc:creator>
  <cp:lastModifiedBy>春华秋实</cp:lastModifiedBy>
  <dcterms:modified xsi:type="dcterms:W3CDTF">2023-01-10T11:46:17Z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08031FE45D454DCB8CE9DCB3B52C3A76</vt:lpwstr>
  </property>
</Properties>
</file>