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89" w:rsidRDefault="00C4770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22"/>
        <w:gridCol w:w="745"/>
        <w:gridCol w:w="9255"/>
        <w:gridCol w:w="1590"/>
      </w:tblGrid>
      <w:tr w:rsidR="007B2189" w:rsidRPr="00574A79">
        <w:trPr>
          <w:trHeight w:val="515"/>
        </w:trPr>
        <w:tc>
          <w:tcPr>
            <w:tcW w:w="2202" w:type="dxa"/>
            <w:vMerge w:val="restart"/>
            <w:vAlign w:val="center"/>
          </w:tcPr>
          <w:p w:rsidR="007B2189" w:rsidRPr="00574A79" w:rsidRDefault="00C47709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B2189" w:rsidRPr="00574A79" w:rsidRDefault="00C477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受审核部门：生产部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陪同人员：唐金亮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590" w:type="dxa"/>
            <w:vMerge w:val="restart"/>
            <w:vAlign w:val="center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B2189" w:rsidRPr="00574A79">
        <w:trPr>
          <w:trHeight w:val="403"/>
        </w:trPr>
        <w:tc>
          <w:tcPr>
            <w:tcW w:w="220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C47709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审核员：陈丽丹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审核日期：2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2-01-09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516"/>
        </w:trPr>
        <w:tc>
          <w:tcPr>
            <w:tcW w:w="220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00" w:type="dxa"/>
            <w:gridSpan w:val="2"/>
            <w:vAlign w:val="center"/>
          </w:tcPr>
          <w:p w:rsidR="007B2189" w:rsidRPr="00574A79" w:rsidRDefault="00C4770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F: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5.3/6.2/</w:t>
            </w:r>
            <w:r w:rsidR="00EA01A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7.1.3/</w:t>
            </w:r>
            <w:r w:rsidRPr="00574A7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7.1.4/8.2/8.3/8.4/8.5.4.5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443"/>
        </w:trPr>
        <w:tc>
          <w:tcPr>
            <w:tcW w:w="220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574A79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590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B2189" w:rsidRPr="00574A79">
        <w:trPr>
          <w:trHeight w:val="1101"/>
        </w:trPr>
        <w:tc>
          <w:tcPr>
            <w:tcW w:w="220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公司在手册中对生产部的职责进行了规定，主要负责完成各项生产任务；负责车间的生产管理、质量管理、设备的使用维修与保养、环境卫生管理、人员管理、工艺管理、原辅料及产成品的管理；</w:t>
            </w:r>
          </w:p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参与不合格品的评审，制定纠正和预防措施并组织实施；参与制定生产操作规程、作业指导书、并组织实施。</w:t>
            </w:r>
          </w:p>
          <w:p w:rsidR="007B2189" w:rsidRPr="00574A79" w:rsidRDefault="00C4770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通过会议、文件等方式进行传达，询问生产部负责人唐金亮，基本清楚自身实际职责。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2189" w:rsidRPr="00574A79">
        <w:trPr>
          <w:trHeight w:val="443"/>
        </w:trPr>
        <w:tc>
          <w:tcPr>
            <w:tcW w:w="220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食品安全目标及其实现的策划</w:t>
            </w:r>
          </w:p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7B2189" w:rsidRPr="00574A79" w:rsidRDefault="00C4770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《目标分解及完成情况考核表》</w:t>
            </w:r>
          </w:p>
        </w:tc>
        <w:tc>
          <w:tcPr>
            <w:tcW w:w="1590" w:type="dxa"/>
            <w:vMerge w:val="restart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B2189" w:rsidRPr="00574A79">
        <w:trPr>
          <w:trHeight w:val="822"/>
        </w:trPr>
        <w:tc>
          <w:tcPr>
            <w:tcW w:w="220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574A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具体、有针对性、可测量并且可实现。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485"/>
              <w:gridCol w:w="1231"/>
              <w:gridCol w:w="1774"/>
              <w:gridCol w:w="1774"/>
            </w:tblGrid>
            <w:tr w:rsidR="007B2189" w:rsidRPr="00574A79">
              <w:tc>
                <w:tcPr>
                  <w:tcW w:w="2187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目标实际完成（2021.7-12）</w:t>
                  </w:r>
                </w:p>
              </w:tc>
            </w:tr>
            <w:tr w:rsidR="007B2189" w:rsidRPr="00574A79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产品合格出厂率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≥95%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成品合格出厂数量/成品入库总数量*100%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99%</w:t>
                  </w:r>
                </w:p>
              </w:tc>
            </w:tr>
            <w:tr w:rsidR="007B2189" w:rsidRPr="00574A79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生产任务及时完成率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生产任务及时完成数量/生产任务总数量*100%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95%</w:t>
                  </w:r>
                </w:p>
              </w:tc>
            </w:tr>
            <w:tr w:rsidR="007B2189" w:rsidRPr="00574A79">
              <w:tc>
                <w:tcPr>
                  <w:tcW w:w="2187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lastRenderedPageBreak/>
                    <w:t>设备故障及时处理率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≥90%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7B2189" w:rsidRPr="00574A79" w:rsidRDefault="00C477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设备故障及时处理次数/设备故障总次数*100%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7B2189" w:rsidRPr="00574A79" w:rsidRDefault="00C47709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目标已实现，</w:t>
            </w:r>
          </w:p>
          <w:p w:rsidR="007B2189" w:rsidRPr="00574A79" w:rsidRDefault="00C47709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590" w:type="dxa"/>
            <w:vMerge/>
          </w:tcPr>
          <w:p w:rsidR="007B2189" w:rsidRPr="00574A79" w:rsidRDefault="007B2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4FB8" w:rsidRPr="00574A79">
        <w:trPr>
          <w:trHeight w:val="468"/>
        </w:trPr>
        <w:tc>
          <w:tcPr>
            <w:tcW w:w="2202" w:type="dxa"/>
          </w:tcPr>
          <w:p w:rsidR="005E4FB8" w:rsidRDefault="005E4FB8" w:rsidP="005E4FB8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922" w:type="dxa"/>
          </w:tcPr>
          <w:p w:rsidR="005E4FB8" w:rsidRDefault="005E4FB8" w:rsidP="005E4FB8">
            <w:r>
              <w:rPr>
                <w:rFonts w:hint="eastAsia"/>
              </w:rPr>
              <w:t xml:space="preserve">F7.1.3 </w:t>
            </w:r>
          </w:p>
          <w:p w:rsidR="005E4FB8" w:rsidRDefault="005E4FB8" w:rsidP="005E4FB8"/>
        </w:tc>
        <w:tc>
          <w:tcPr>
            <w:tcW w:w="745" w:type="dxa"/>
          </w:tcPr>
          <w:p w:rsidR="005E4FB8" w:rsidRDefault="005E4FB8" w:rsidP="005E4FB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E4FB8" w:rsidRDefault="005E4FB8" w:rsidP="005E4FB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</w:t>
            </w:r>
          </w:p>
          <w:p w:rsidR="005E4FB8" w:rsidRDefault="005E4FB8" w:rsidP="005E4FB8"/>
        </w:tc>
        <w:tc>
          <w:tcPr>
            <w:tcW w:w="1590" w:type="dxa"/>
          </w:tcPr>
          <w:p w:rsidR="005E4FB8" w:rsidRPr="00574A79" w:rsidRDefault="005E4FB8" w:rsidP="005E4FB8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5E4FB8" w:rsidRPr="00574A79" w:rsidRDefault="005E4FB8" w:rsidP="005E4FB8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468"/>
        </w:trPr>
        <w:tc>
          <w:tcPr>
            <w:tcW w:w="2202" w:type="dxa"/>
          </w:tcPr>
          <w:p w:rsidR="009508E3" w:rsidRDefault="009508E3" w:rsidP="009508E3"/>
        </w:tc>
        <w:tc>
          <w:tcPr>
            <w:tcW w:w="922" w:type="dxa"/>
          </w:tcPr>
          <w:p w:rsidR="009508E3" w:rsidRDefault="009508E3" w:rsidP="009508E3"/>
        </w:tc>
        <w:tc>
          <w:tcPr>
            <w:tcW w:w="745" w:type="dxa"/>
          </w:tcPr>
          <w:p w:rsidR="009508E3" w:rsidRDefault="009508E3" w:rsidP="009508E3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9508E3" w:rsidRPr="001F7054" w:rsidRDefault="009508E3" w:rsidP="009508E3">
            <w:pPr>
              <w:ind w:left="1470" w:hangingChars="700" w:hanging="1470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基础设施包括：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加工间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加工设备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特种设备（电梯）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动力设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监视测量设备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辅助设施 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9508E3" w:rsidRPr="001F7054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查看对设备采购的控制:</w:t>
            </w:r>
          </w:p>
          <w:tbl>
            <w:tblPr>
              <w:tblStyle w:val="ac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9508E3" w:rsidRPr="001F7054" w:rsidTr="00B207E5">
              <w:trPr>
                <w:trHeight w:val="368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9508E3" w:rsidRPr="001F7054" w:rsidTr="00B207E5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B207E5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B207E5">
              <w:trPr>
                <w:trHeight w:val="303"/>
              </w:trPr>
              <w:tc>
                <w:tcPr>
                  <w:tcW w:w="243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9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5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查看对设备维保的控制；</w:t>
            </w:r>
          </w:p>
          <w:p w:rsidR="009508E3" w:rsidRPr="001F7054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提供有《生产设备设施一览表》、《2021年度设备保养计划表》、《设备维修保养记录表》，随机抽取</w:t>
            </w:r>
          </w:p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供《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2021年年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度设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维保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计</w:t>
            </w:r>
            <w:r w:rsidRPr="001F7054">
              <w:rPr>
                <w:rFonts w:asciiTheme="minorEastAsia" w:eastAsiaTheme="minorEastAsia" w:hAnsiTheme="minorEastAsia"/>
                <w:szCs w:val="21"/>
              </w:rPr>
              <w:t>划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tbl>
            <w:tblPr>
              <w:tblStyle w:val="ac"/>
              <w:tblW w:w="9676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309"/>
              <w:gridCol w:w="1240"/>
              <w:gridCol w:w="1240"/>
              <w:gridCol w:w="4572"/>
            </w:tblGrid>
            <w:tr w:rsidR="009508E3" w:rsidRPr="001F7054" w:rsidTr="00B207E5">
              <w:trPr>
                <w:trHeight w:val="859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保点检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9508E3" w:rsidRPr="001F7054" w:rsidTr="00B207E5">
              <w:trPr>
                <w:trHeight w:val="31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空气压缩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空滤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、油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滤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更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</w:p>
              </w:tc>
            </w:tr>
            <w:tr w:rsidR="009508E3" w:rsidRPr="001F7054" w:rsidTr="00B207E5">
              <w:trPr>
                <w:trHeight w:val="31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制氮机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清洁、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查过滤器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搅面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锅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查等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四楼安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得马富成型机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箱检查、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注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润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滑油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隧道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炉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电箱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、温度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显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示校准、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链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条松紧、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加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注润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滑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油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切片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3个月/次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紧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固螺丝、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更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换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刀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片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31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针扎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124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1个月/次</w:t>
                  </w:r>
                </w:p>
              </w:tc>
              <w:tc>
                <w:tcPr>
                  <w:tcW w:w="457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检查扎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针变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形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列换</w:t>
                  </w:r>
                </w:p>
              </w:tc>
            </w:tr>
          </w:tbl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查看对设备维修的控制</w:t>
            </w:r>
          </w:p>
          <w:tbl>
            <w:tblPr>
              <w:tblStyle w:val="ac"/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 w:rsidR="009508E3" w:rsidRPr="001F7054" w:rsidTr="00B207E5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</w:tr>
            <w:tr w:rsidR="009508E3" w:rsidRPr="001F7054" w:rsidTr="00B207E5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包装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要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D号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线</w:t>
                  </w:r>
                </w:p>
              </w:tc>
              <w:tc>
                <w:tcPr>
                  <w:tcW w:w="11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2021-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7-16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更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换链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轮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式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传动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9508E3" w:rsidRPr="001F7054" w:rsidTr="00B207E5">
              <w:trPr>
                <w:trHeight w:val="317"/>
              </w:trPr>
              <w:tc>
                <w:tcPr>
                  <w:tcW w:w="2425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挤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油机</w:t>
                  </w:r>
                </w:p>
              </w:tc>
              <w:tc>
                <w:tcPr>
                  <w:tcW w:w="11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2021-8-28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链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条卡断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52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1F7054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>未发生 □已发生</w:t>
            </w:r>
          </w:p>
          <w:tbl>
            <w:tblPr>
              <w:tblStyle w:val="ac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9508E3" w:rsidRPr="001F7054" w:rsidTr="00B207E5">
              <w:trPr>
                <w:trHeight w:val="31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rPr>
                <w:trHeight w:val="327"/>
              </w:trPr>
              <w:tc>
                <w:tcPr>
                  <w:tcW w:w="1979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特种设备控制</w:t>
            </w:r>
          </w:p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1F7054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压力容器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F7054">
              <w:rPr>
                <w:rFonts w:asciiTheme="minorEastAsia" w:eastAsiaTheme="minorEastAsia" w:hAnsiTheme="minorEastAsia" w:hint="eastAsia"/>
                <w:szCs w:val="21"/>
              </w:rPr>
              <w:t xml:space="preserve">不适用  </w:t>
            </w:r>
          </w:p>
          <w:tbl>
            <w:tblPr>
              <w:tblStyle w:val="ac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1410"/>
              <w:gridCol w:w="1832"/>
              <w:gridCol w:w="1681"/>
              <w:gridCol w:w="1557"/>
              <w:gridCol w:w="1476"/>
            </w:tblGrid>
            <w:tr w:rsidR="009508E3" w:rsidRPr="001F7054" w:rsidTr="00B207E5">
              <w:trPr>
                <w:trHeight w:val="585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9508E3" w:rsidRPr="001F7054" w:rsidTr="00B207E5">
              <w:trPr>
                <w:trHeight w:val="326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租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用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C86689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508E3"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C86689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</w:t>
                  </w:r>
                  <w:bookmarkStart w:id="0" w:name="_GoBack"/>
                  <w:bookmarkEnd w:id="0"/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9508E3"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="009508E3"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90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容17闽C11766(21)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QZ202FRC04902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90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容17闽C11768(21)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QZ2021FRC04901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2022年09  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90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容17闽C1176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(21)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QZ2021FRC04900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2022年09  月30 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298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224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298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T30304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QZ2021FTC31178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月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9508E3" w:rsidRPr="001F7054" w:rsidTr="00B207E5">
              <w:trPr>
                <w:trHeight w:val="298"/>
              </w:trPr>
              <w:tc>
                <w:tcPr>
                  <w:tcW w:w="108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TC35203</w:t>
                  </w:r>
                </w:p>
              </w:tc>
              <w:tc>
                <w:tcPr>
                  <w:tcW w:w="1832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QZ2021FTC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31180</w:t>
                  </w:r>
                </w:p>
              </w:tc>
              <w:tc>
                <w:tcPr>
                  <w:tcW w:w="1681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2022年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月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15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  <w:tc>
                <w:tcPr>
                  <w:tcW w:w="1557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1F7054" w:rsidRDefault="009508E3" w:rsidP="009508E3">
            <w:pPr>
              <w:pStyle w:val="2"/>
              <w:ind w:left="-594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c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9508E3" w:rsidRPr="001F7054" w:rsidTr="00B207E5">
              <w:tc>
                <w:tcPr>
                  <w:tcW w:w="2164" w:type="dxa"/>
                  <w:gridSpan w:val="2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9508E3" w:rsidRPr="001F7054" w:rsidTr="00B207E5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2164" w:type="dxa"/>
                  <w:gridSpan w:val="2"/>
                  <w:vMerge w:val="restart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外包（电梯）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供方名称：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2164" w:type="dxa"/>
                  <w:gridSpan w:val="2"/>
                  <w:vMerge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2164" w:type="dxa"/>
                  <w:gridSpan w:val="2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用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sym w:font="Wingdings 2" w:char="00A3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1805351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2021年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09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  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30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rPr>
                <w:trHeight w:val="299"/>
              </w:trPr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电梯</w:t>
                  </w: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TC35202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2021-07-15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1F7054" w:rsidTr="00B207E5">
              <w:tc>
                <w:tcPr>
                  <w:tcW w:w="1123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1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TC35203</w:t>
                  </w:r>
                </w:p>
              </w:tc>
              <w:tc>
                <w:tcPr>
                  <w:tcW w:w="1993" w:type="dxa"/>
                </w:tcPr>
                <w:p w:rsidR="009508E3" w:rsidRPr="001F7054" w:rsidRDefault="009508E3" w:rsidP="009508E3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2021-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7-15</w:t>
                  </w:r>
                </w:p>
              </w:tc>
              <w:tc>
                <w:tcPr>
                  <w:tcW w:w="180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常使用</w:t>
                  </w:r>
                </w:p>
              </w:tc>
              <w:tc>
                <w:tcPr>
                  <w:tcW w:w="1638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F7054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F7054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508E3" w:rsidRPr="001F7054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1F7054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过程运行环境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F7.1.4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如：《运行控制程序》、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手册第7.1.4条款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1510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控制方法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非歧视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安定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尊重员工，建立沟通渠道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减压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预防过度疲劳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避免疲劳作业，减少不必要的加班；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薪资、福利增加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；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工作安全防护</w:t>
                  </w:r>
                </w:p>
              </w:tc>
            </w:tr>
            <w:tr w:rsidR="009508E3" w:rsidRPr="00574A79">
              <w:tc>
                <w:tcPr>
                  <w:tcW w:w="199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温度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湿度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照明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空气流通  </w:t>
                  </w:r>
                </w:p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卫生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保持良好的作业环境；按照《前提方案》和《危害控制计划》进行控制</w:t>
                  </w:r>
                </w:p>
              </w:tc>
            </w:tr>
          </w:tbl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运行的策划和控制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8.1 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.1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《运行的策划和控制程序》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3093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087"/>
              <w:gridCol w:w="3834"/>
              <w:gridCol w:w="2195"/>
            </w:tblGrid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产品/服务的名称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面包的生产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产品和服务的要求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图纸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工艺流程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操作规程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过程准则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程序文件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作业指导书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其他（验收标准）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 w:val="restart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原材料接收标准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 w:val="restart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过程产品放行标准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符合相关标准和客户合同订单要求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成品执行标准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符合国标或行业标准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trHeight w:val="75"/>
              </w:trPr>
              <w:tc>
                <w:tcPr>
                  <w:tcW w:w="927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8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服务规范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195" w:type="dxa"/>
                  <w:vMerge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所需的资源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受过培训的人员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必要的生产设备和工具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必要的检测设备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必要的生产和储存场所  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充足的原材料供应  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确定符合产品和服务要求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按照准则实施过程控制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见8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.5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条款审核记录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过程已经按策划进行证据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有流程图、管理制度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产品和服务符合要求的证据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索证、检测、顾客满意度调查表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策划的变更的控制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014" w:type="dxa"/>
                  <w:gridSpan w:val="2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识别外包过程及控制方法</w:t>
                  </w:r>
                </w:p>
              </w:tc>
              <w:tc>
                <w:tcPr>
                  <w:tcW w:w="383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虫害控制</w:t>
                  </w:r>
                </w:p>
              </w:tc>
              <w:tc>
                <w:tcPr>
                  <w:tcW w:w="219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9508E3" w:rsidRPr="00574A79">
        <w:trPr>
          <w:trHeight w:val="220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位于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福建省泉州市晋江市经济开发区（五里园）新源路8号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与公司地理位置图、平面图、设备台账一致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15731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平方米；生产加工间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（含配料间、搅拌间、成型间、醒发室、烘烤间、冷却间、内包装间、外包装间等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）；设置有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8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个仓库，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原料库1个，包材库2个，冷藏库1个，化学品库1个，添加剂库2个，成品库1个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；化验室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1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个；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查看生产加工过程管理，与流程图基本一致。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对物流和人流有基本划分，主要按照工艺流程进行划分;采用城市供水系统，提供了水质检验报告，详见附件。能力基本充分。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仓库门口有挡鼠板，车间入口有风幕/塑帘，车间外部有捕鼠笼等，与《虫鼠害防治图》基本一致；车间废弃物采用封闭式非手动垃圾桶，边角料等废弃物装袋后卖给农户做猪饲料；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无污水处理设施，直接排入城市管网；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有配置挡鼠板、捕鼠笼等，每周定期检查1次，在公司内部系统查看到有虫害控制点检记录，每天对灭蝇灯、捕鼠点以及风幕机运行情况；提供有虫害外包方的《客户服务记录单》等基本规范，</w:t>
            </w:r>
            <w:bookmarkStart w:id="1" w:name="_Hlk84857133"/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每月服务2次，每月进行了蚊蝇、虫鼠害的趋势分析</w:t>
            </w:r>
            <w:bookmarkEnd w:id="1"/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；</w:t>
            </w:r>
          </w:p>
          <w:p w:rsidR="009508E3" w:rsidRPr="00574A79" w:rsidRDefault="009508E3" w:rsidP="009508E3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废弃物：主要是包装物等杂物；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 及其清洁、 保养和预防性维护的可实现性；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设施、设备、工器具一般采用清水加洗涤剂清洗，消毒使用次氯酸钠、过氧乙酸、臭氧、紫外线灯、酒精等方式进行消毒，设备有保养计划和记录。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供应商保证过程（如原料、 辅料、 化学品和包装材料） 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见“采购部”审核记录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有《原材料采购验证记录及入库数量登记表》、《产品销售台账》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现场查看成品库环境卫生基本干净，能做到隔地离墙存放，标识清楚，基本符合。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目前根据客户订单需求进行生产加工、加工后检验合格发货给客户；</w:t>
            </w:r>
          </w:p>
          <w:p w:rsidR="009508E3" w:rsidRPr="00574A79" w:rsidRDefault="009508E3" w:rsidP="009508E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企业的加工工艺自动化程度较高，人员按照《人流图》进入加工场所，产品由自动生产线传送；</w:t>
            </w:r>
          </w:p>
          <w:p w:rsidR="009508E3" w:rsidRPr="00574A79" w:rsidRDefault="009508E3" w:rsidP="009508E3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原料、辅料、包材按照《流程图》分别进入加工工序、成品包装工序；</w:t>
            </w:r>
          </w:p>
          <w:p w:rsidR="009508E3" w:rsidRPr="00574A79" w:rsidRDefault="009508E3" w:rsidP="009508E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加工场所分为：生产加工间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（含配料间、搅拌间、成型间、醒发室、烘烤间、冷却间、内包装间、外包装间等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）；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i）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每天工作结束后进行清洁，环境基本干净整洁。公司内部系统中查看到有《消毒记录》，对脱模间、冷却间、内包装间等高清洁区均有消毒。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内部消毒记录包括1、人员手部消毒（75%酒精、次氯酸纳）、设备班前消毒（早上开机前75%酒精）； 2.场所消毒 3.工作服消毒（紫外线）、物料消毒（紫外线） 4.馅料缸沙拉酱消毒（75%酒精）； 5.回风口消毒（泡腾片配水、配次氯酸纳）；抽查2022.1.7符合要求，检验人：瞿婷婷。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另外提供了《空间消毒记录》，紫外线/臭氧消毒，臭氧：分三个时间间，每时段1小时，时长：3小时；紫外线：12小时。查看2021.12.21，对四楼内包车间,四楼冷却塔,四楼包材间,四楼内包更衣室,四楼冷却间,四楼脱模间,四楼前段更衣室,三楼内包车间,三楼冷却塔,三楼包材间,三楼内包更衣室,三楼冷却间,三楼脱模间,三楼前段更衣室,二楼内包间,二楼冷却间,二楼脱模间,二楼烤炉间等进行了检查，检验人：黄宝宽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j)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健康证见“办公室”审核记录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k)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该企业的主要产品是面包类。消费者为普通大众。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l</w:t>
            </w:r>
            <w:r w:rsidRPr="00574A79">
              <w:rPr>
                <w:rFonts w:asciiTheme="minorEastAsia" w:eastAsiaTheme="minorEastAsia" w:hAnsiTheme="minorEastAsia"/>
                <w:b/>
                <w:bCs/>
                <w:szCs w:val="21"/>
              </w:rPr>
              <w:t>) 其他有关方面。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现场清洗/消毒等化学品基本有标识，部分酒精无标识已现场沟通，基本实现定置管理，化学品领用记录基本符合。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公司内部系统中查看到有《员工晨检记录》，检查项目包括着装规范和指甲等个人卫生情况，抽查2021-</w:t>
            </w:r>
            <w:r w:rsidRPr="00574A79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2-29，员工：常梅兰，检查人员：牟路丹，无异常；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F8.3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.3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《产品标识和可追溯性控制程序》、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《产品/服务提供控制程序》、《标识和可追溯性控制程序》、《产品留样制度》、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《前提方案》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574A79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1648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在建立和实施可追溯性体系时，考虑了以下内容：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接收物料、配料、中间产品批量与最终产品的关系；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材料/产品的返工；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最终产品的分销。</w:t>
            </w:r>
          </w:p>
          <w:p w:rsidR="009508E3" w:rsidRPr="00574A79" w:rsidRDefault="009508E3" w:rsidP="009508E3">
            <w:pPr>
              <w:pStyle w:val="a4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原材料的唯一性标识方式：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二维码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半成品的唯一性标识方式：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二维码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pStyle w:val="a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成品的唯一性标识方式：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容器编号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标牌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标签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区域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周装箱的颜色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批号打码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条形码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二维码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eq \o\ac(□)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其他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2021 年 9月  26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日验证和测试可追溯性体系的有效性。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演练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761"/>
              <w:gridCol w:w="1399"/>
              <w:gridCol w:w="1145"/>
              <w:gridCol w:w="964"/>
              <w:gridCol w:w="850"/>
              <w:gridCol w:w="1579"/>
            </w:tblGrid>
            <w:tr w:rsidR="009508E3" w:rsidRPr="00574A79">
              <w:tc>
                <w:tcPr>
                  <w:tcW w:w="13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176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39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9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57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9508E3" w:rsidRPr="00574A79">
              <w:tc>
                <w:tcPr>
                  <w:tcW w:w="13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2021．9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761" w:type="dxa"/>
                </w:tcPr>
                <w:p w:rsidR="009508E3" w:rsidRPr="00574A79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迷你吐司(乳酸菌味)的外包装与内填物不符</w:t>
                  </w:r>
                </w:p>
              </w:tc>
              <w:tc>
                <w:tcPr>
                  <w:tcW w:w="139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2021.9.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1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2021.9.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9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  <w:tc>
                <w:tcPr>
                  <w:tcW w:w="85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  <w:tc>
                <w:tcPr>
                  <w:tcW w:w="157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全部追回</w:t>
                  </w:r>
                </w:p>
              </w:tc>
            </w:tr>
            <w:tr w:rsidR="009508E3" w:rsidRPr="00574A79">
              <w:tc>
                <w:tcPr>
                  <w:tcW w:w="13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7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现场以追溯思路查核</w:t>
            </w:r>
            <w:bookmarkStart w:id="2" w:name="_Hlk84860320"/>
            <w:r w:rsidRPr="00574A7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021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年11月30日生产的肉肉海苔吐司、2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2年1月5日生产的乳酸菌风味小吐司，两个共在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分钟内完成追溯。提供了生产过程的相关记录等证据，包括进货检验记录、配投料记录、醒发记录、成型面团重量记录、烘烤记录、温湿度记录、消毒记录、包装气密性检查记录、金探记录、成品检验记录、销售出库单等较为详实</w:t>
            </w:r>
            <w:bookmarkEnd w:id="2"/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可追溯性系统证据的保留期限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24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个月，至少包括产品的保质期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面包：60天/90天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产品留样：——见食品安全小组审核记录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  <w:tr w:rsidR="009508E3" w:rsidRPr="00574A79"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8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系统的验证包括最终产品数量与成分数量的核对，作为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追溯性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有效性的证据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769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在生产或服务场所对原材料的标识情况：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：；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在生产或服务场所对半成品的标识情况：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不适宜说明：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在生产或服务场所对成品的标识情况：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  <w:u w:val="single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在原材料库房的标识情况：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>在半成品库房的标识情况：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（不适用）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在成品库房的标识情况：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区分清楚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防护得当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/>
                <w:szCs w:val="21"/>
              </w:rPr>
              <w:t>不适宜说明：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86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8.4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《应急准备和响应控制程序》、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《产品召回控制程序》、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《撤回控制程序》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9508E3" w:rsidRPr="00574A79">
        <w:trPr>
          <w:trHeight w:val="77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识别了触电、火灾、食物中毒等突发情况；编制了应急救援预案、食物中毒应急预案。生产部主要配合做好应急演练工作，详见食品安全小组审核记录。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目前生产部未发生突发情况。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召回和撤回见食品安全小组审核记录。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有权决定撤回/召回人员：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74A7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食品安全小组组长李永华</w:t>
            </w:r>
            <w:r w:rsidRPr="00574A79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办公室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c>
                <w:tcPr>
                  <w:tcW w:w="383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本部门是否发生产品的撤回或召回的情况：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本部门是否发生产品的撤回或召回方面的处置，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未发生，进行了召回/追溯演练：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147"/>
              <w:gridCol w:w="1660"/>
              <w:gridCol w:w="1540"/>
              <w:gridCol w:w="1070"/>
              <w:gridCol w:w="1185"/>
              <w:gridCol w:w="1428"/>
            </w:tblGrid>
            <w:tr w:rsidR="009508E3" w:rsidRPr="00574A79">
              <w:tc>
                <w:tcPr>
                  <w:tcW w:w="10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产品批号</w:t>
                  </w:r>
                </w:p>
              </w:tc>
              <w:tc>
                <w:tcPr>
                  <w:tcW w:w="114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不合格简述</w:t>
                  </w:r>
                </w:p>
              </w:tc>
              <w:tc>
                <w:tcPr>
                  <w:tcW w:w="166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生产记录情况</w:t>
                  </w:r>
                </w:p>
              </w:tc>
              <w:tc>
                <w:tcPr>
                  <w:tcW w:w="15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销售记录追踪</w:t>
                  </w:r>
                </w:p>
              </w:tc>
            </w:tr>
            <w:tr w:rsidR="009508E3" w:rsidRPr="00574A79">
              <w:tc>
                <w:tcPr>
                  <w:tcW w:w="10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2021．9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147" w:type="dxa"/>
                </w:tcPr>
                <w:p w:rsidR="009508E3" w:rsidRPr="00574A79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迷你吐司(乳酸菌味)的外包装与内填物不符</w:t>
                  </w:r>
                </w:p>
              </w:tc>
              <w:tc>
                <w:tcPr>
                  <w:tcW w:w="166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2021.9.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2021.9.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21</w:t>
                  </w:r>
                </w:p>
              </w:tc>
              <w:tc>
                <w:tcPr>
                  <w:tcW w:w="107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  <w:tc>
                <w:tcPr>
                  <w:tcW w:w="118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  <w:tc>
                <w:tcPr>
                  <w:tcW w:w="142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全部追回</w:t>
                  </w:r>
                </w:p>
              </w:tc>
            </w:tr>
            <w:tr w:rsidR="009508E3" w:rsidRPr="00574A79">
              <w:tc>
                <w:tcPr>
                  <w:tcW w:w="10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14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66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5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9508E3" w:rsidRPr="00574A79" w:rsidRDefault="009508E3" w:rsidP="009508E3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见《产品召回记录》， 并向最高管理者报告， 作为管理评审的输入。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468"/>
        </w:trPr>
        <w:tc>
          <w:tcPr>
            <w:tcW w:w="220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生产和服务提供的控制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922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8.5.4.5</w:t>
            </w: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《产品/服务提供控制程序》、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《作业指导书》、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《操作规程》、《图纸》、《危害控制计划》</w:t>
            </w:r>
          </w:p>
        </w:tc>
        <w:tc>
          <w:tcPr>
            <w:tcW w:w="1590" w:type="dxa"/>
            <w:vMerge w:val="restart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77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组织应在受控条件下进行生产和服务提供。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产品/服务：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作业指导书、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《工艺流程图》、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《图纸》、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《操作规程》、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《生产计划》：</w:t>
            </w:r>
          </w:p>
          <w:p w:rsidR="009508E3" w:rsidRPr="00574A79" w:rsidRDefault="009508E3" w:rsidP="009508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糕点主要生产流程图：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原辅料验收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脱包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配料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搅拌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成型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醒发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烘烤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脱盘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冷却【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切片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夹心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二次烘烤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冷却）】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金属探测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内包装（内包材、脱氧剂消毒）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装箱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入库</w:t>
            </w:r>
          </w:p>
          <w:p w:rsidR="009508E3" w:rsidRPr="00574A79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   夹心吐司主要生产流程图：原辅料验收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脱包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配料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搅拌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成型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醒发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烘烤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脱盘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冷却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切片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夹心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金属探测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内包装（内包材、脱氧剂消毒）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装箱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sym w:font="Wingdings" w:char="F0E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入库</w:t>
            </w:r>
          </w:p>
          <w:p w:rsidR="009508E3" w:rsidRPr="00574A79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b/>
                <w:szCs w:val="21"/>
              </w:rPr>
              <w:t>糕点：</w:t>
            </w:r>
            <w:r w:rsidRPr="00574A79">
              <w:rPr>
                <w:rFonts w:asciiTheme="minorEastAsia" w:eastAsiaTheme="minorEastAsia" w:hAnsiTheme="minorEastAsia" w:hint="eastAsia"/>
                <w:bCs/>
                <w:szCs w:val="21"/>
              </w:rPr>
              <w:t>抽查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2021.11.30肉肉海苔吐司生产过程中涉及的C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CP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和O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PRP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控制情况：</w:t>
            </w:r>
          </w:p>
          <w:p w:rsidR="009508E3" w:rsidRPr="00574A79" w:rsidRDefault="009508E3" w:rsidP="009508E3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pPr w:leftFromText="180" w:rightFromText="180" w:vertAnchor="text" w:horzAnchor="margin" w:tblpY="-333"/>
              <w:tblOverlap w:val="never"/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9"/>
              <w:gridCol w:w="989"/>
              <w:gridCol w:w="3260"/>
              <w:gridCol w:w="1701"/>
              <w:gridCol w:w="742"/>
            </w:tblGrid>
            <w:tr w:rsidR="009508E3" w:rsidRPr="00574A79">
              <w:trPr>
                <w:cantSplit/>
                <w:trHeight w:val="591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危害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显著危害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每个预防措施的</w:t>
                  </w:r>
                </w:p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关键限值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/行动准则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2125" w:type="dxa"/>
                  <w:gridSpan w:val="2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9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42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化学危害：添加剂的违规使用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硫酸钙的最大使用量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硬脂酰乳酸钙</w:t>
                  </w: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2.0g/kg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3212F">
                    <w:rPr>
                      <w:rFonts w:ascii="宋体" w:hAnsi="宋体" w:cs="宋体" w:hint="eastAsia"/>
                      <w:kern w:val="0"/>
                      <w:szCs w:val="21"/>
                    </w:rPr>
                    <w:t>偶氮甲酰胺</w:t>
                  </w: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的最大使用量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0.045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聚甘油脂肪酸脂的最大使用量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蔗糖肪酸脂的最大使用量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3.0g/kg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脱氢乙酸钠的最大使用量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0.5g/kg</w:t>
                  </w:r>
                </w:p>
                <w:p w:rsidR="009508E3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丙酸钙的最大使用量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 xml:space="preserve">2.5g/kg </w:t>
                  </w:r>
                </w:p>
                <w:p w:rsidR="009508E3" w:rsidRPr="0021207C" w:rsidRDefault="009508E3" w:rsidP="009508E3">
                  <w:pPr>
                    <w:pStyle w:val="a0"/>
                  </w:pPr>
                  <w:r w:rsidRPr="0073212F">
                    <w:rPr>
                      <w:rFonts w:ascii="宋体" w:hAnsi="宋体" w:cs="宋体" w:hint="eastAsia"/>
                      <w:kern w:val="0"/>
                      <w:szCs w:val="21"/>
                    </w:rPr>
                    <w:t>山梨酸的最大使用量</w:t>
                  </w:r>
                  <w:r w:rsidRPr="0073212F">
                    <w:rPr>
                      <w:rFonts w:ascii="宋体" w:hAnsi="宋体" w:cs="宋体"/>
                      <w:kern w:val="0"/>
                      <w:szCs w:val="21"/>
                    </w:rPr>
                    <w:t>1.0g/kg</w:t>
                  </w:r>
                  <w:r w:rsidRPr="0021207C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添加剂使用记录：</w:t>
                  </w:r>
                </w:p>
                <w:p w:rsidR="009508E3" w:rsidRPr="00574A79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查看配料记录，食品总量209.18kg，添加剂的使用主要为：丙酸钙：150g，脱氢乙酸钠75g，添加剂使用量符合要求。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生物危害：致病微生物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73212F" w:rsidRDefault="009508E3" w:rsidP="009508E3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 w:rsidRPr="0073212F">
                    <w:rPr>
                      <w:rFonts w:ascii="宋体" w:hAnsi="宋体" w:hint="eastAsia"/>
                      <w:szCs w:val="21"/>
                    </w:rPr>
                    <w:t>第一次烘烤：</w:t>
                  </w:r>
                  <w:r w:rsidRPr="0073212F">
                    <w:rPr>
                      <w:rFonts w:ascii="宋体" w:hAnsi="宋体"/>
                      <w:szCs w:val="21"/>
                    </w:rPr>
                    <w:t>上火：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160-200</w:t>
                  </w:r>
                  <w:r w:rsidRPr="0073212F">
                    <w:rPr>
                      <w:rFonts w:ascii="宋体" w:hAnsi="宋体"/>
                      <w:szCs w:val="21"/>
                    </w:rPr>
                    <w:t>℃，下火 1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60</w:t>
                  </w:r>
                  <w:r w:rsidRPr="0073212F">
                    <w:rPr>
                      <w:rFonts w:ascii="宋体" w:hAnsi="宋体"/>
                      <w:szCs w:val="21"/>
                    </w:rPr>
                    <w:t>℃-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220</w:t>
                  </w:r>
                  <w:r w:rsidRPr="0073212F">
                    <w:rPr>
                      <w:rFonts w:ascii="宋体" w:hAnsi="宋体"/>
                      <w:szCs w:val="21"/>
                    </w:rPr>
                    <w:t>℃；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烘烤时间为30-37分钟</w:t>
                  </w:r>
                </w:p>
                <w:p w:rsidR="009508E3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73212F">
                    <w:rPr>
                      <w:rFonts w:ascii="宋体" w:hAnsi="宋体" w:hint="eastAsia"/>
                      <w:szCs w:val="21"/>
                    </w:rPr>
                    <w:t>第二次烘烤：130-160</w:t>
                  </w:r>
                  <w:r w:rsidRPr="0073212F">
                    <w:rPr>
                      <w:rFonts w:ascii="宋体" w:hAnsi="宋体"/>
                      <w:szCs w:val="21"/>
                    </w:rPr>
                    <w:t>℃烘烤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11-13</w:t>
                  </w:r>
                  <w:r w:rsidRPr="0073212F">
                    <w:rPr>
                      <w:rFonts w:ascii="宋体" w:hAnsi="宋体"/>
                      <w:szCs w:val="21"/>
                    </w:rPr>
                    <w:t>分钟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见产品作业指导书及《烘烤温度时间》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提供了烤炉监控记录表，7：30显示隧道炉温度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第一温区：炉温上火135.1℃，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第二温区：炉温上火140.5℃，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第三温区：炉温上火139.4℃，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第四温区：炉温上火140.1℃，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第五温区：炉温上火141.5℃。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烘烤时间为11.2分钟，每2小时记录一次，（系统中有保留图片）记录人：彭学龙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物理危害：金属异物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模块报警：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Fe: Φ2.0mm, SUS: Φ3.0mm，Cu：Φ2.5mm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使用前校准一次、每二小时校准一次，提供了金属检测记录表，有每2小时校准记录，并有产品检测结果，显示均为合格，有记录人黄训清、审核人颜鸿顺。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OPRP1</w:t>
                  </w:r>
                </w:p>
                <w:p w:rsidR="009508E3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</w:t>
                  </w:r>
                </w:p>
                <w:p w:rsidR="009508E3" w:rsidRPr="00433CE2" w:rsidRDefault="009508E3" w:rsidP="009508E3">
                  <w:pPr>
                    <w:pStyle w:val="a0"/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433CE2" w:rsidRDefault="009508E3" w:rsidP="009508E3">
                  <w:pPr>
                    <w:pStyle w:val="a0"/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沙拉酱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化学危害：重金属超标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1、铅（以Pb计）≤1.0mg/kg</w:t>
                  </w:r>
                </w:p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2、沙门氏菌/25g（</w:t>
                  </w:r>
                  <w:r w:rsidRPr="0062381A">
                    <w:rPr>
                      <w:rFonts w:ascii="宋体" w:hAnsi="宋体"/>
                      <w:szCs w:val="21"/>
                    </w:rPr>
                    <w:t>n=5，c=0，m=0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62381A">
                    <w:rPr>
                      <w:rFonts w:ascii="宋体" w:hAnsi="宋体"/>
                      <w:szCs w:val="21"/>
                    </w:rPr>
                    <w:t>25g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3、</w:t>
                  </w:r>
                  <w:r w:rsidRPr="0062381A">
                    <w:rPr>
                      <w:rFonts w:hint="eastAsia"/>
                      <w:szCs w:val="21"/>
                    </w:rPr>
                    <w:t>金黄色葡萄球菌</w:t>
                  </w:r>
                  <w:r w:rsidRPr="0062381A">
                    <w:rPr>
                      <w:szCs w:val="21"/>
                    </w:rPr>
                    <w:t>CFU/g</w:t>
                  </w:r>
                  <w:r>
                    <w:rPr>
                      <w:rFonts w:hint="eastAsia"/>
                      <w:szCs w:val="21"/>
                    </w:rPr>
                    <w:t xml:space="preserve"> （</w:t>
                  </w:r>
                  <w:r w:rsidRPr="0062381A">
                    <w:rPr>
                      <w:szCs w:val="21"/>
                    </w:rPr>
                    <w:t>n=5，c=2,m=100CFU/g，M=10000CFU/g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  <w:p w:rsidR="009508E3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见原辅料验收准则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海苔肉松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微生物超标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1、沙门氏菌/25g（</w:t>
                  </w:r>
                  <w:r w:rsidRPr="0062381A">
                    <w:rPr>
                      <w:rFonts w:ascii="宋体" w:hAnsi="宋体"/>
                      <w:szCs w:val="21"/>
                    </w:rPr>
                    <w:t>n=5，c=0，m=0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62381A">
                    <w:rPr>
                      <w:rFonts w:ascii="宋体" w:hAnsi="宋体"/>
                      <w:szCs w:val="21"/>
                    </w:rPr>
                    <w:t>25g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2、</w:t>
                  </w:r>
                  <w:r w:rsidRPr="0062381A">
                    <w:rPr>
                      <w:rFonts w:hint="eastAsia"/>
                      <w:szCs w:val="21"/>
                    </w:rPr>
                    <w:t>金黄色葡萄球菌</w:t>
                  </w:r>
                  <w:r w:rsidRPr="0062381A">
                    <w:rPr>
                      <w:szCs w:val="21"/>
                    </w:rPr>
                    <w:t>CFU/g</w:t>
                  </w:r>
                  <w:r>
                    <w:rPr>
                      <w:rFonts w:hint="eastAsia"/>
                      <w:szCs w:val="21"/>
                    </w:rPr>
                    <w:t xml:space="preserve"> （</w:t>
                  </w:r>
                  <w:r w:rsidRPr="0062381A">
                    <w:rPr>
                      <w:szCs w:val="21"/>
                    </w:rPr>
                    <w:t>n=5，c=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Pr="0062381A">
                    <w:rPr>
                      <w:szCs w:val="21"/>
                    </w:rPr>
                    <w:t>,m=100CFU/g，</w:t>
                  </w:r>
                  <w:r>
                    <w:rPr>
                      <w:szCs w:val="21"/>
                    </w:rPr>
                    <w:t>M=1</w:t>
                  </w:r>
                  <w:r w:rsidRPr="0062381A">
                    <w:rPr>
                      <w:szCs w:val="21"/>
                    </w:rPr>
                    <w:t>000CFU/g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人造奶油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酸价、过氧化值超标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726D46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726D46">
                    <w:rPr>
                      <w:rFonts w:ascii="宋体" w:hAnsi="宋体" w:hint="eastAsia"/>
                      <w:szCs w:val="21"/>
                    </w:rPr>
                    <w:t>过氧化值</w:t>
                  </w:r>
                  <w:r w:rsidRPr="00726D46">
                    <w:rPr>
                      <w:rFonts w:ascii="宋体" w:hAnsi="宋体"/>
                      <w:szCs w:val="21"/>
                    </w:rPr>
                    <w:t>(以脂肪计)g/ 100g</w:t>
                  </w:r>
                  <w:r>
                    <w:rPr>
                      <w:rFonts w:ascii="宋体" w:hAnsi="宋体" w:hint="eastAsia"/>
                      <w:szCs w:val="21"/>
                    </w:rPr>
                    <w:t>≤0.13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726D46">
                    <w:rPr>
                      <w:szCs w:val="21"/>
                    </w:rPr>
                    <w:t>酸价(以脂肪计) (KOH)mg/ g</w:t>
                  </w:r>
                  <w:r>
                    <w:rPr>
                      <w:rFonts w:hint="eastAsia"/>
                      <w:szCs w:val="21"/>
                    </w:rPr>
                    <w:t>≤1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全蛋液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药残超标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土霉素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四环素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726D46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金霉素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小麦粉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重金属、农残超标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铅（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Pb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）m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镉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(Cd)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无机砷（以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As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计）≤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0.1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六六六m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滴滴涕m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夹心吐司：抽查2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.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1.7乳酸菌风味小吐司的生产过程中涉及的C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CP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和O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PRP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控制情况：</w:t>
            </w: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pPr w:leftFromText="180" w:rightFromText="180" w:vertAnchor="text" w:horzAnchor="margin" w:tblpY="-333"/>
              <w:tblOverlap w:val="never"/>
              <w:tblW w:w="8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9"/>
              <w:gridCol w:w="989"/>
              <w:gridCol w:w="3260"/>
              <w:gridCol w:w="1701"/>
              <w:gridCol w:w="742"/>
            </w:tblGrid>
            <w:tr w:rsidR="009508E3" w:rsidRPr="00574A79">
              <w:trPr>
                <w:cantSplit/>
                <w:trHeight w:val="591"/>
              </w:trPr>
              <w:tc>
                <w:tcPr>
                  <w:tcW w:w="2125" w:type="dxa"/>
                  <w:gridSpan w:val="2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危害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控制点（CCP/OPRP）</w:t>
                  </w:r>
                </w:p>
              </w:tc>
              <w:tc>
                <w:tcPr>
                  <w:tcW w:w="989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显著危害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每个预防措施的</w:t>
                  </w:r>
                </w:p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关键限值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/行动准则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监控方法及记录</w:t>
                  </w:r>
                </w:p>
              </w:tc>
              <w:tc>
                <w:tcPr>
                  <w:tcW w:w="742" w:type="dxa"/>
                  <w:vMerge w:val="restart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2125" w:type="dxa"/>
                  <w:gridSpan w:val="2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9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60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42" w:type="dxa"/>
                  <w:vMerge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CP1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配料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化学危害：添加剂的违规使用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硫酸钙的最大使用量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硬脂酰乳酸钙</w:t>
                  </w: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2.0g/kg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73212F">
                    <w:rPr>
                      <w:rFonts w:ascii="宋体" w:hAnsi="宋体" w:cs="宋体" w:hint="eastAsia"/>
                      <w:kern w:val="0"/>
                      <w:szCs w:val="21"/>
                    </w:rPr>
                    <w:t>偶氮甲酰胺</w:t>
                  </w: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的最大使用量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0.045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聚甘油脂肪酸脂的最大使用量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10.0g/kg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蔗糖肪酸脂的最大使用量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3.0g/kg</w:t>
                  </w:r>
                </w:p>
                <w:p w:rsidR="009508E3" w:rsidRPr="00C26300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脱氢乙酸钠的最大使用量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>0.5g/kg</w:t>
                  </w:r>
                </w:p>
                <w:p w:rsidR="009508E3" w:rsidRDefault="009508E3" w:rsidP="009508E3">
                  <w:pPr>
                    <w:spacing w:line="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26300">
                    <w:rPr>
                      <w:rFonts w:ascii="宋体" w:hAnsi="宋体" w:cs="宋体" w:hint="eastAsia"/>
                      <w:kern w:val="0"/>
                      <w:szCs w:val="21"/>
                    </w:rPr>
                    <w:t>丙酸钙的最大使用量</w:t>
                  </w:r>
                  <w:r w:rsidRPr="00C26300">
                    <w:rPr>
                      <w:rFonts w:ascii="宋体" w:hAnsi="宋体" w:cs="宋体"/>
                      <w:kern w:val="0"/>
                      <w:szCs w:val="21"/>
                    </w:rPr>
                    <w:t xml:space="preserve">2.5g/kg 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212F">
                    <w:rPr>
                      <w:rFonts w:ascii="宋体" w:hAnsi="宋体" w:cs="宋体" w:hint="eastAsia"/>
                      <w:kern w:val="0"/>
                      <w:szCs w:val="21"/>
                    </w:rPr>
                    <w:t>山梨酸的最大使用量</w:t>
                  </w:r>
                  <w:r w:rsidRPr="0073212F">
                    <w:rPr>
                      <w:rFonts w:ascii="宋体" w:hAnsi="宋体" w:cs="宋体"/>
                      <w:kern w:val="0"/>
                      <w:szCs w:val="21"/>
                    </w:rPr>
                    <w:t>1.0g/kg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添加剂使用记录：</w:t>
                  </w:r>
                </w:p>
                <w:p w:rsidR="009508E3" w:rsidRPr="00574A79" w:rsidRDefault="009508E3" w:rsidP="009508E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查看配料记录，食品总量187.675kg，添加剂的使用主要为：丙酸钙：150g，脱氢乙酸钠75g，均为符合要求。添加剂使用量符合要求。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CP2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烘烤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生物危害：致病微生物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73212F" w:rsidRDefault="009508E3" w:rsidP="009508E3">
                  <w:pPr>
                    <w:widowControl/>
                    <w:jc w:val="left"/>
                    <w:rPr>
                      <w:rFonts w:ascii="宋体" w:hAnsi="宋体"/>
                      <w:szCs w:val="21"/>
                    </w:rPr>
                  </w:pPr>
                  <w:r w:rsidRPr="0073212F">
                    <w:rPr>
                      <w:rFonts w:ascii="宋体" w:hAnsi="宋体" w:hint="eastAsia"/>
                      <w:szCs w:val="21"/>
                    </w:rPr>
                    <w:t>第一次烘烤：</w:t>
                  </w:r>
                  <w:r w:rsidRPr="0073212F">
                    <w:rPr>
                      <w:rFonts w:ascii="宋体" w:hAnsi="宋体"/>
                      <w:szCs w:val="21"/>
                    </w:rPr>
                    <w:t>上火：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160-200</w:t>
                  </w:r>
                  <w:r w:rsidRPr="0073212F">
                    <w:rPr>
                      <w:rFonts w:ascii="宋体" w:hAnsi="宋体"/>
                      <w:szCs w:val="21"/>
                    </w:rPr>
                    <w:t>℃，下火 1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60</w:t>
                  </w:r>
                  <w:r w:rsidRPr="0073212F">
                    <w:rPr>
                      <w:rFonts w:ascii="宋体" w:hAnsi="宋体"/>
                      <w:szCs w:val="21"/>
                    </w:rPr>
                    <w:t>℃-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220</w:t>
                  </w:r>
                  <w:r w:rsidRPr="0073212F">
                    <w:rPr>
                      <w:rFonts w:ascii="宋体" w:hAnsi="宋体"/>
                      <w:szCs w:val="21"/>
                    </w:rPr>
                    <w:t>℃；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烘烤时间为30-37分钟</w:t>
                  </w:r>
                </w:p>
                <w:p w:rsidR="009508E3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73212F">
                    <w:rPr>
                      <w:rFonts w:ascii="宋体" w:hAnsi="宋体" w:hint="eastAsia"/>
                      <w:szCs w:val="21"/>
                    </w:rPr>
                    <w:t>第二次烘烤：130-160</w:t>
                  </w:r>
                  <w:r w:rsidRPr="0073212F">
                    <w:rPr>
                      <w:rFonts w:ascii="宋体" w:hAnsi="宋体"/>
                      <w:szCs w:val="21"/>
                    </w:rPr>
                    <w:t>℃烘烤</w:t>
                  </w:r>
                  <w:r w:rsidRPr="0073212F">
                    <w:rPr>
                      <w:rFonts w:ascii="宋体" w:hAnsi="宋体" w:hint="eastAsia"/>
                      <w:szCs w:val="21"/>
                    </w:rPr>
                    <w:t>11-13</w:t>
                  </w:r>
                  <w:r w:rsidRPr="0073212F">
                    <w:rPr>
                      <w:rFonts w:ascii="宋体" w:hAnsi="宋体"/>
                      <w:szCs w:val="21"/>
                    </w:rPr>
                    <w:t>分钟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见产品作业指导书及《烘烤温度时间》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提供了烤炉监控记录表，11:47显示隧道炉温度</w:t>
                  </w: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第一温区：上火190.2℃，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下火187.6℃；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第二温区：上火194.8℃，下火189.0℃；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第三温区：上火203.3℃，下火190.9℃；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第四温区：上火204.3℃，下火190.9℃；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第五温区：上火194.1℃，下火183.9℃；</w:t>
                  </w:r>
                </w:p>
                <w:p w:rsidR="009508E3" w:rsidRPr="00574A79" w:rsidRDefault="009508E3" w:rsidP="009508E3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第六温区：上火190.7℃，下火168.1℃；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烘烤时间为30分钟，每2小时记录一次，（系统中有保留图片）记录人：彭学龙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320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t>CP3</w:t>
                  </w: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金属检测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物理危害：金属异物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模块报警：</w:t>
                  </w:r>
                </w:p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Fe: Φ2.0mm, SUS: Φ3.0mm，Cu：Φ2.5mm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使用前校准一次、每二小时校准一次，提供了金属检测记录表，有每2小时校准记录，并有产品检测结果，显示均为合格，有记录人黄训清、审核人颜鸿顺。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OPRP1</w:t>
                  </w:r>
                </w:p>
                <w:p w:rsidR="009508E3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</w:t>
                  </w:r>
                </w:p>
                <w:p w:rsidR="009508E3" w:rsidRPr="00433CE2" w:rsidRDefault="009508E3" w:rsidP="009508E3">
                  <w:pPr>
                    <w:pStyle w:val="a0"/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433CE2" w:rsidRDefault="009508E3" w:rsidP="009508E3">
                  <w:pPr>
                    <w:pStyle w:val="a0"/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沙拉酱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化学危害：重金属超标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1、铅（以Pb计）≤1.0mg/kg</w:t>
                  </w:r>
                </w:p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2、沙门氏菌/25g（</w:t>
                  </w:r>
                  <w:r w:rsidRPr="0062381A">
                    <w:rPr>
                      <w:rFonts w:ascii="宋体" w:hAnsi="宋体"/>
                      <w:szCs w:val="21"/>
                    </w:rPr>
                    <w:t>n=5，c=0，m=0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62381A">
                    <w:rPr>
                      <w:rFonts w:ascii="宋体" w:hAnsi="宋体"/>
                      <w:szCs w:val="21"/>
                    </w:rPr>
                    <w:t>25g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3、</w:t>
                  </w:r>
                  <w:r w:rsidRPr="0062381A">
                    <w:rPr>
                      <w:rFonts w:hint="eastAsia"/>
                      <w:szCs w:val="21"/>
                    </w:rPr>
                    <w:t>金黄色葡萄球菌</w:t>
                  </w:r>
                  <w:r w:rsidRPr="0062381A">
                    <w:rPr>
                      <w:szCs w:val="21"/>
                    </w:rPr>
                    <w:t>CFU/g</w:t>
                  </w:r>
                  <w:r>
                    <w:rPr>
                      <w:rFonts w:hint="eastAsia"/>
                      <w:szCs w:val="21"/>
                    </w:rPr>
                    <w:t xml:space="preserve"> （</w:t>
                  </w:r>
                  <w:r w:rsidRPr="0062381A">
                    <w:rPr>
                      <w:szCs w:val="21"/>
                    </w:rPr>
                    <w:t>n=5，c=2,m=100CFU/g，M=10000CFU/g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  <w:p w:rsidR="009508E3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  <w:highlight w:val="cyan"/>
                    </w:rPr>
                    <w:t>见原辅料验收准则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海苔肉松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微生物超标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1、沙门氏菌/25g（</w:t>
                  </w:r>
                  <w:r w:rsidRPr="0062381A">
                    <w:rPr>
                      <w:rFonts w:ascii="宋体" w:hAnsi="宋体"/>
                      <w:szCs w:val="21"/>
                    </w:rPr>
                    <w:t>n=5，c=0，m=0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 w:rsidRPr="0062381A">
                    <w:rPr>
                      <w:rFonts w:ascii="宋体" w:hAnsi="宋体"/>
                      <w:szCs w:val="21"/>
                    </w:rPr>
                    <w:t>25g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2、</w:t>
                  </w:r>
                  <w:r w:rsidRPr="0062381A">
                    <w:rPr>
                      <w:rFonts w:hint="eastAsia"/>
                      <w:szCs w:val="21"/>
                    </w:rPr>
                    <w:t>金黄色葡萄球菌</w:t>
                  </w:r>
                  <w:r w:rsidRPr="0062381A">
                    <w:rPr>
                      <w:szCs w:val="21"/>
                    </w:rPr>
                    <w:t>CFU/g</w:t>
                  </w:r>
                  <w:r>
                    <w:rPr>
                      <w:rFonts w:hint="eastAsia"/>
                      <w:szCs w:val="21"/>
                    </w:rPr>
                    <w:t xml:space="preserve"> （</w:t>
                  </w:r>
                  <w:r w:rsidRPr="0062381A">
                    <w:rPr>
                      <w:szCs w:val="21"/>
                    </w:rPr>
                    <w:t>n=5，c=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Pr="0062381A">
                    <w:rPr>
                      <w:szCs w:val="21"/>
                    </w:rPr>
                    <w:t>,m=100CFU/g，</w:t>
                  </w:r>
                  <w:r>
                    <w:rPr>
                      <w:szCs w:val="21"/>
                    </w:rPr>
                    <w:t>M=1</w:t>
                  </w:r>
                  <w:r w:rsidRPr="0062381A">
                    <w:rPr>
                      <w:szCs w:val="21"/>
                    </w:rPr>
                    <w:t>000CFU/g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人造奶油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Pr="00574A79" w:rsidRDefault="009508E3" w:rsidP="009508E3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酸价、过氧化值超标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Pr="00726D46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 w:rsidRPr="00726D46">
                    <w:rPr>
                      <w:rFonts w:ascii="宋体" w:hAnsi="宋体" w:hint="eastAsia"/>
                      <w:szCs w:val="21"/>
                    </w:rPr>
                    <w:t>过氧化值</w:t>
                  </w:r>
                  <w:r w:rsidRPr="00726D46">
                    <w:rPr>
                      <w:rFonts w:ascii="宋体" w:hAnsi="宋体"/>
                      <w:szCs w:val="21"/>
                    </w:rPr>
                    <w:t>(以脂肪计)g/ 100g</w:t>
                  </w:r>
                  <w:r>
                    <w:rPr>
                      <w:rFonts w:ascii="宋体" w:hAnsi="宋体" w:hint="eastAsia"/>
                      <w:szCs w:val="21"/>
                    </w:rPr>
                    <w:t>≤0.13</w:t>
                  </w:r>
                </w:p>
                <w:p w:rsidR="009508E3" w:rsidRPr="00574A79" w:rsidRDefault="009508E3" w:rsidP="009508E3">
                  <w:pPr>
                    <w:pStyle w:val="2"/>
                    <w:spacing w:line="320" w:lineRule="exact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  <w:highlight w:val="cyan"/>
                    </w:rPr>
                  </w:pPr>
                  <w:r w:rsidRPr="00726D46">
                    <w:rPr>
                      <w:szCs w:val="21"/>
                    </w:rPr>
                    <w:t>酸价(以脂肪计) (KOH)mg/ g</w:t>
                  </w:r>
                  <w:r>
                    <w:rPr>
                      <w:rFonts w:hint="eastAsia"/>
                      <w:szCs w:val="21"/>
                    </w:rPr>
                    <w:t>≤1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全蛋液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药残超标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土霉素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四环素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  <w:p w:rsidR="009508E3" w:rsidRPr="00726D46" w:rsidRDefault="009508E3" w:rsidP="009508E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金霉素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mg/kg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  <w:tr w:rsidR="009508E3" w:rsidRPr="00574A79">
              <w:trPr>
                <w:cantSplit/>
                <w:trHeight w:val="67"/>
              </w:trPr>
              <w:tc>
                <w:tcPr>
                  <w:tcW w:w="846" w:type="dxa"/>
                  <w:vAlign w:val="center"/>
                </w:tcPr>
                <w:p w:rsidR="009508E3" w:rsidRPr="00574A79" w:rsidRDefault="009508E3" w:rsidP="009508E3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小麦粉</w:t>
                  </w:r>
                </w:p>
              </w:tc>
              <w:tc>
                <w:tcPr>
                  <w:tcW w:w="989" w:type="dxa"/>
                  <w:vAlign w:val="center"/>
                </w:tcPr>
                <w:p w:rsidR="009508E3" w:rsidRDefault="009508E3" w:rsidP="009508E3">
                  <w:pPr>
                    <w:spacing w:line="24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重金属、农残超标</w:t>
                  </w:r>
                </w:p>
              </w:tc>
              <w:tc>
                <w:tcPr>
                  <w:tcW w:w="3260" w:type="dxa"/>
                  <w:vAlign w:val="center"/>
                </w:tcPr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铅（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Pb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）m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镉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(Cd)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0.2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无机砷（以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As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计）≤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0.1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六六六m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  <w:p w:rsidR="009508E3" w:rsidRDefault="009508E3" w:rsidP="009508E3">
                  <w:pPr>
                    <w:adjustRightInd w:val="0"/>
                    <w:snapToGrid w:val="0"/>
                    <w:spacing w:line="260" w:lineRule="exact"/>
                    <w:jc w:val="center"/>
                    <w:outlineLvl w:val="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滴滴涕m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g/kg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≤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701" w:type="dxa"/>
                  <w:vAlign w:val="center"/>
                </w:tcPr>
                <w:p w:rsidR="009508E3" w:rsidRPr="00574A79" w:rsidRDefault="009508E3" w:rsidP="009508E3">
                  <w:pPr>
                    <w:pStyle w:val="a4"/>
                    <w:spacing w:line="320" w:lineRule="exact"/>
                    <w:ind w:left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查看均有批次报告、外检报告，原料验收记录，结果合格</w:t>
                  </w:r>
                </w:p>
              </w:tc>
              <w:tc>
                <w:tcPr>
                  <w:tcW w:w="742" w:type="dxa"/>
                  <w:vAlign w:val="center"/>
                </w:tcPr>
                <w:p w:rsidR="009508E3" w:rsidRPr="00574A79" w:rsidRDefault="009508E3" w:rsidP="009508E3">
                  <w:pPr>
                    <w:spacing w:line="3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基本符合</w:t>
                  </w:r>
                </w:p>
              </w:tc>
            </w:tr>
          </w:tbl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同时抽取2021-11-30、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21-12-29等产品涉及生产过程控制记录，结论同上。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首件检验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打码批次及内包空包确认 》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9508E3" w:rsidRPr="00574A79">
              <w:tc>
                <w:tcPr>
                  <w:tcW w:w="76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508E3" w:rsidRPr="00574A79">
              <w:tc>
                <w:tcPr>
                  <w:tcW w:w="76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2021.12.29</w:t>
                  </w:r>
                </w:p>
              </w:tc>
              <w:tc>
                <w:tcPr>
                  <w:tcW w:w="162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乳酸菌风味小吐司2021.12.29</w:t>
                  </w:r>
                </w:p>
              </w:tc>
              <w:tc>
                <w:tcPr>
                  <w:tcW w:w="13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2021.12.29</w:t>
                  </w:r>
                </w:p>
              </w:tc>
              <w:tc>
                <w:tcPr>
                  <w:tcW w:w="168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1.卷膜字迹清晰无重影，名称和产品一致；2.脱氧剂无破损；3.封口气密性良好</w:t>
                  </w:r>
                </w:p>
              </w:tc>
              <w:tc>
                <w:tcPr>
                  <w:tcW w:w="156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508E3" w:rsidRPr="00574A79">
              <w:tc>
                <w:tcPr>
                  <w:tcW w:w="76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2021.11.30</w:t>
                  </w:r>
                </w:p>
              </w:tc>
              <w:tc>
                <w:tcPr>
                  <w:tcW w:w="162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肉肉海苔吐司2021.11.30</w:t>
                  </w:r>
                </w:p>
              </w:tc>
              <w:tc>
                <w:tcPr>
                  <w:tcW w:w="13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2021.11.30</w:t>
                  </w:r>
                </w:p>
              </w:tc>
              <w:tc>
                <w:tcPr>
                  <w:tcW w:w="168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1.卷膜字迹清晰无重影，名称和产品一致；2.脱氧剂无破损；3.封口气密性良好</w:t>
                  </w:r>
                </w:p>
              </w:tc>
              <w:tc>
                <w:tcPr>
                  <w:tcW w:w="156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508E3" w:rsidRPr="00574A79">
              <w:tc>
                <w:tcPr>
                  <w:tcW w:w="76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查看需要确认的过程控制：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Pr="00574A7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过程确认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不适用（适用时）</w:t>
            </w:r>
          </w:p>
          <w:tbl>
            <w:tblPr>
              <w:tblStyle w:val="ac"/>
              <w:tblW w:w="8894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731"/>
              <w:gridCol w:w="1045"/>
              <w:gridCol w:w="982"/>
              <w:gridCol w:w="846"/>
              <w:gridCol w:w="909"/>
              <w:gridCol w:w="1037"/>
              <w:gridCol w:w="940"/>
              <w:gridCol w:w="701"/>
              <w:gridCol w:w="913"/>
            </w:tblGrid>
            <w:tr w:rsidR="009508E3" w:rsidRPr="00574A79">
              <w:trPr>
                <w:trHeight w:val="948"/>
              </w:trPr>
              <w:tc>
                <w:tcPr>
                  <w:tcW w:w="79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确认日期</w:t>
                  </w:r>
                </w:p>
              </w:tc>
              <w:tc>
                <w:tcPr>
                  <w:tcW w:w="73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工艺确认</w:t>
                  </w:r>
                </w:p>
              </w:tc>
              <w:tc>
                <w:tcPr>
                  <w:tcW w:w="103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环境确认</w:t>
                  </w:r>
                </w:p>
              </w:tc>
              <w:tc>
                <w:tcPr>
                  <w:tcW w:w="9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破坏性试验</w:t>
                  </w:r>
                </w:p>
              </w:tc>
              <w:tc>
                <w:tcPr>
                  <w:tcW w:w="70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结果确认</w:t>
                  </w:r>
                </w:p>
              </w:tc>
              <w:tc>
                <w:tcPr>
                  <w:tcW w:w="9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确认结论</w:t>
                  </w:r>
                </w:p>
              </w:tc>
            </w:tr>
            <w:tr w:rsidR="009508E3" w:rsidRPr="00574A79">
              <w:trPr>
                <w:trHeight w:val="67"/>
              </w:trPr>
              <w:tc>
                <w:tcPr>
                  <w:tcW w:w="79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position w:val="-3"/>
                      <w:szCs w:val="21"/>
                    </w:rPr>
                    <w:instrText>□</w:instrTex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instrText>)</w:instrText>
                  </w:r>
                  <w:r w:rsidRPr="00574A79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508E3" w:rsidRPr="00574A79">
              <w:trPr>
                <w:trHeight w:val="485"/>
              </w:trPr>
              <w:tc>
                <w:tcPr>
                  <w:tcW w:w="79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574A79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574A79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9508E3" w:rsidRPr="00574A79">
              <w:trPr>
                <w:trHeight w:val="485"/>
              </w:trPr>
              <w:tc>
                <w:tcPr>
                  <w:tcW w:w="79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3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5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2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46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9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37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40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3" w:type="dxa"/>
                </w:tcPr>
                <w:p w:rsidR="009508E3" w:rsidRPr="00574A79" w:rsidRDefault="009508E3" w:rsidP="009508E3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</w:tr>
          </w:tbl>
          <w:p w:rsidR="009508E3" w:rsidRPr="00574A79" w:rsidRDefault="009508E3" w:rsidP="009508E3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color w:val="0000FF"/>
                <w:szCs w:val="21"/>
                <w:highlight w:val="cyan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采取防范人为错误的措施；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在公司内部系统中进行领料发料，物料均有编码和二维码，具有唯一性，能有效避免误用；按照客户订单需求进行加工控制，自动化程度高，设置固定参数控制，能有效防止产品规格错误；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对于食品行业的运输控制：物流合作方提供车辆为主。提供了配送用车辆的卫生检查记录。查看2022.1.9记录，运输商：盛丰物流，车牌号：闽CI8I95，主要对车厢卫生、异味、化学品混放情况、虫害等情况进行了检查，检查结果为符合。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车辆卫生清洁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不与有毒有害物质混匀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保温车辆的温度</w:t>
            </w:r>
            <w:r w:rsidRPr="00574A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℃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对于危化品行业运输：（不涉及）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车辆行驶许可证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按照预定路线行驶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泄露处理措施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火灾处理措施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08E3" w:rsidRPr="00574A79">
        <w:trPr>
          <w:trHeight w:val="2616"/>
        </w:trPr>
        <w:tc>
          <w:tcPr>
            <w:tcW w:w="220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2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55" w:type="dxa"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查看关键岗位人员是否按操作要求进行操作。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抽样询问关键岗位人员是否熟悉按操作要求。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查看关键岗位的控制参数是否按操作要求进行操作。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查看是否按要求实施了产品标识。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查看是否按要求实施了状态标识。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查看是否使用了经校准的监视测量设备。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271F9F">
              <w:rPr>
                <w:rFonts w:asciiTheme="minorEastAsia" w:eastAsiaTheme="minorEastAsia" w:hAnsiTheme="minorEastAsia" w:hint="eastAsia"/>
                <w:szCs w:val="21"/>
              </w:rPr>
              <w:t>否，见品管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部8.7条款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查看设备的完好情况。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574A79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574A79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574A79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574A79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  <w:r w:rsidRPr="00574A79">
              <w:rPr>
                <w:rFonts w:asciiTheme="minorEastAsia" w:eastAsiaTheme="minorEastAsia" w:hAnsiTheme="minorEastAsia" w:hint="eastAsia"/>
                <w:szCs w:val="21"/>
              </w:rPr>
              <w:t>查看生产/服务环境情况。</w:t>
            </w:r>
          </w:p>
        </w:tc>
        <w:tc>
          <w:tcPr>
            <w:tcW w:w="1590" w:type="dxa"/>
            <w:vMerge/>
          </w:tcPr>
          <w:p w:rsidR="009508E3" w:rsidRPr="00574A79" w:rsidRDefault="009508E3" w:rsidP="009508E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2189" w:rsidRDefault="007B2189"/>
    <w:p w:rsidR="007B2189" w:rsidRDefault="00C47709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B218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CB" w:rsidRDefault="00952ECB">
      <w:r>
        <w:separator/>
      </w:r>
    </w:p>
  </w:endnote>
  <w:endnote w:type="continuationSeparator" w:id="0">
    <w:p w:rsidR="00952ECB" w:rsidRDefault="0095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7B2189" w:rsidRDefault="00C47709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EC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EC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2189" w:rsidRDefault="007B2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CB" w:rsidRDefault="00952ECB">
      <w:r>
        <w:separator/>
      </w:r>
    </w:p>
  </w:footnote>
  <w:footnote w:type="continuationSeparator" w:id="0">
    <w:p w:rsidR="00952ECB" w:rsidRDefault="0095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89" w:rsidRDefault="00C47709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B2189" w:rsidRDefault="00C47709">
    <w:pPr>
      <w:pStyle w:val="aa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7B2189" w:rsidRDefault="00C4770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7B2189" w:rsidRDefault="00C4770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7B2189" w:rsidRDefault="007B21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65DD6"/>
    <w:rsid w:val="00071522"/>
    <w:rsid w:val="00073A25"/>
    <w:rsid w:val="0009328C"/>
    <w:rsid w:val="00097E8F"/>
    <w:rsid w:val="000A4138"/>
    <w:rsid w:val="000D1D8B"/>
    <w:rsid w:val="000E6B21"/>
    <w:rsid w:val="00133470"/>
    <w:rsid w:val="00161E82"/>
    <w:rsid w:val="00175611"/>
    <w:rsid w:val="00182530"/>
    <w:rsid w:val="0019695B"/>
    <w:rsid w:val="001A2D7F"/>
    <w:rsid w:val="001C7DD2"/>
    <w:rsid w:val="001E0C7C"/>
    <w:rsid w:val="001E0CFE"/>
    <w:rsid w:val="001E6841"/>
    <w:rsid w:val="0021207C"/>
    <w:rsid w:val="00220B97"/>
    <w:rsid w:val="00231EAD"/>
    <w:rsid w:val="00252BF9"/>
    <w:rsid w:val="00260B7D"/>
    <w:rsid w:val="00271F9F"/>
    <w:rsid w:val="00293869"/>
    <w:rsid w:val="002939AD"/>
    <w:rsid w:val="002A0C39"/>
    <w:rsid w:val="002C2165"/>
    <w:rsid w:val="002D5385"/>
    <w:rsid w:val="002D7B38"/>
    <w:rsid w:val="002F7189"/>
    <w:rsid w:val="003101EF"/>
    <w:rsid w:val="00314AF6"/>
    <w:rsid w:val="00337922"/>
    <w:rsid w:val="00340867"/>
    <w:rsid w:val="00380837"/>
    <w:rsid w:val="00391A1E"/>
    <w:rsid w:val="003A198A"/>
    <w:rsid w:val="003B21C4"/>
    <w:rsid w:val="003B2496"/>
    <w:rsid w:val="003B4966"/>
    <w:rsid w:val="003C26F9"/>
    <w:rsid w:val="003C304C"/>
    <w:rsid w:val="003E3109"/>
    <w:rsid w:val="00410914"/>
    <w:rsid w:val="00417D46"/>
    <w:rsid w:val="00423D3B"/>
    <w:rsid w:val="00427C59"/>
    <w:rsid w:val="00433CE2"/>
    <w:rsid w:val="004420AA"/>
    <w:rsid w:val="004438A6"/>
    <w:rsid w:val="004555EF"/>
    <w:rsid w:val="00474F25"/>
    <w:rsid w:val="0047706A"/>
    <w:rsid w:val="0048201E"/>
    <w:rsid w:val="004C3DF6"/>
    <w:rsid w:val="004D53F1"/>
    <w:rsid w:val="00510D2C"/>
    <w:rsid w:val="005212AE"/>
    <w:rsid w:val="005223A0"/>
    <w:rsid w:val="0053192C"/>
    <w:rsid w:val="00533A33"/>
    <w:rsid w:val="00536930"/>
    <w:rsid w:val="0054190D"/>
    <w:rsid w:val="00564B9B"/>
    <w:rsid w:val="00564E53"/>
    <w:rsid w:val="0056561D"/>
    <w:rsid w:val="00574A79"/>
    <w:rsid w:val="005B2DA3"/>
    <w:rsid w:val="005D5659"/>
    <w:rsid w:val="005E1A35"/>
    <w:rsid w:val="005E4FB8"/>
    <w:rsid w:val="00600C20"/>
    <w:rsid w:val="00603DFF"/>
    <w:rsid w:val="0061072E"/>
    <w:rsid w:val="00624EC8"/>
    <w:rsid w:val="0064480F"/>
    <w:rsid w:val="00644FE2"/>
    <w:rsid w:val="00670B28"/>
    <w:rsid w:val="0067640C"/>
    <w:rsid w:val="006A0D18"/>
    <w:rsid w:val="006A55E2"/>
    <w:rsid w:val="006E678B"/>
    <w:rsid w:val="006E7B1D"/>
    <w:rsid w:val="006F277F"/>
    <w:rsid w:val="00721894"/>
    <w:rsid w:val="00730700"/>
    <w:rsid w:val="0073452C"/>
    <w:rsid w:val="00744730"/>
    <w:rsid w:val="00744C1A"/>
    <w:rsid w:val="00747832"/>
    <w:rsid w:val="00751C5D"/>
    <w:rsid w:val="007757F3"/>
    <w:rsid w:val="00777DCA"/>
    <w:rsid w:val="0078141B"/>
    <w:rsid w:val="0078756D"/>
    <w:rsid w:val="0079152F"/>
    <w:rsid w:val="00795520"/>
    <w:rsid w:val="007B2189"/>
    <w:rsid w:val="007C1B48"/>
    <w:rsid w:val="007E3B15"/>
    <w:rsid w:val="007E52E7"/>
    <w:rsid w:val="007E6AEB"/>
    <w:rsid w:val="007F0B9E"/>
    <w:rsid w:val="00805F0E"/>
    <w:rsid w:val="00834771"/>
    <w:rsid w:val="0085381B"/>
    <w:rsid w:val="00894E44"/>
    <w:rsid w:val="008973EE"/>
    <w:rsid w:val="008B7AB3"/>
    <w:rsid w:val="008D56CD"/>
    <w:rsid w:val="008E71AB"/>
    <w:rsid w:val="00943CA5"/>
    <w:rsid w:val="009508E3"/>
    <w:rsid w:val="00952ECB"/>
    <w:rsid w:val="00971600"/>
    <w:rsid w:val="009973B4"/>
    <w:rsid w:val="009A52DF"/>
    <w:rsid w:val="009B5F7C"/>
    <w:rsid w:val="009C28C1"/>
    <w:rsid w:val="009C3259"/>
    <w:rsid w:val="009C5E26"/>
    <w:rsid w:val="009F19F0"/>
    <w:rsid w:val="009F3602"/>
    <w:rsid w:val="009F7EED"/>
    <w:rsid w:val="00A107B7"/>
    <w:rsid w:val="00A10A43"/>
    <w:rsid w:val="00A150F8"/>
    <w:rsid w:val="00A22A49"/>
    <w:rsid w:val="00A42EFF"/>
    <w:rsid w:val="00A55742"/>
    <w:rsid w:val="00A739D2"/>
    <w:rsid w:val="00A80636"/>
    <w:rsid w:val="00A80EFB"/>
    <w:rsid w:val="00A8387B"/>
    <w:rsid w:val="00AA4B61"/>
    <w:rsid w:val="00AA508D"/>
    <w:rsid w:val="00AD1D3B"/>
    <w:rsid w:val="00AE0F22"/>
    <w:rsid w:val="00AF0AAB"/>
    <w:rsid w:val="00B21204"/>
    <w:rsid w:val="00B812AE"/>
    <w:rsid w:val="00B93520"/>
    <w:rsid w:val="00BB0CCA"/>
    <w:rsid w:val="00BB7F17"/>
    <w:rsid w:val="00BD6966"/>
    <w:rsid w:val="00BD711C"/>
    <w:rsid w:val="00BF597E"/>
    <w:rsid w:val="00C204D4"/>
    <w:rsid w:val="00C333BE"/>
    <w:rsid w:val="00C47709"/>
    <w:rsid w:val="00C51A36"/>
    <w:rsid w:val="00C55228"/>
    <w:rsid w:val="00C63768"/>
    <w:rsid w:val="00C82624"/>
    <w:rsid w:val="00C86689"/>
    <w:rsid w:val="00CA5B02"/>
    <w:rsid w:val="00CE315A"/>
    <w:rsid w:val="00CE51A1"/>
    <w:rsid w:val="00D0305F"/>
    <w:rsid w:val="00D06F59"/>
    <w:rsid w:val="00D138D4"/>
    <w:rsid w:val="00D64EFB"/>
    <w:rsid w:val="00D8388C"/>
    <w:rsid w:val="00DB4909"/>
    <w:rsid w:val="00DC0C69"/>
    <w:rsid w:val="00E12EB6"/>
    <w:rsid w:val="00E314C2"/>
    <w:rsid w:val="00E414A2"/>
    <w:rsid w:val="00E43B86"/>
    <w:rsid w:val="00E52301"/>
    <w:rsid w:val="00E6224C"/>
    <w:rsid w:val="00EA01A3"/>
    <w:rsid w:val="00EA29D9"/>
    <w:rsid w:val="00EB0164"/>
    <w:rsid w:val="00EB6C09"/>
    <w:rsid w:val="00EC4C9E"/>
    <w:rsid w:val="00ED0F62"/>
    <w:rsid w:val="00ED2C1D"/>
    <w:rsid w:val="00ED373A"/>
    <w:rsid w:val="00EF7A67"/>
    <w:rsid w:val="00F11CA7"/>
    <w:rsid w:val="00F22105"/>
    <w:rsid w:val="00F8015C"/>
    <w:rsid w:val="00F9371F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8B17AA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873F1"/>
    <w:rsid w:val="06AA7E97"/>
    <w:rsid w:val="06EC4BBF"/>
    <w:rsid w:val="06ED612A"/>
    <w:rsid w:val="076E5DAB"/>
    <w:rsid w:val="083D3ED5"/>
    <w:rsid w:val="08767210"/>
    <w:rsid w:val="08851DD7"/>
    <w:rsid w:val="08910EB9"/>
    <w:rsid w:val="08C22483"/>
    <w:rsid w:val="08ED1EE8"/>
    <w:rsid w:val="09005957"/>
    <w:rsid w:val="09563F19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DA3327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276FC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6F74F6"/>
    <w:rsid w:val="12A2571D"/>
    <w:rsid w:val="12A42EA7"/>
    <w:rsid w:val="12A506D3"/>
    <w:rsid w:val="12D32FAA"/>
    <w:rsid w:val="13296CDD"/>
    <w:rsid w:val="134E7573"/>
    <w:rsid w:val="13890C2B"/>
    <w:rsid w:val="13A420AC"/>
    <w:rsid w:val="13C11723"/>
    <w:rsid w:val="13C62F5D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97A8A"/>
    <w:rsid w:val="16210B83"/>
    <w:rsid w:val="16583F2B"/>
    <w:rsid w:val="169D3E09"/>
    <w:rsid w:val="16AB3CAD"/>
    <w:rsid w:val="16E341B9"/>
    <w:rsid w:val="16F10A78"/>
    <w:rsid w:val="16F24232"/>
    <w:rsid w:val="17214267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BB70D9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312EDC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6C4715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43964"/>
    <w:rsid w:val="20A856C1"/>
    <w:rsid w:val="213202E9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5E37354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CE35272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DF3313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301EB1"/>
    <w:rsid w:val="3DAB460B"/>
    <w:rsid w:val="3DC05AC9"/>
    <w:rsid w:val="3DC64AD4"/>
    <w:rsid w:val="3DDA7DB2"/>
    <w:rsid w:val="3E342793"/>
    <w:rsid w:val="3E3C5235"/>
    <w:rsid w:val="3EA34B57"/>
    <w:rsid w:val="3EEF1E6E"/>
    <w:rsid w:val="3F33126F"/>
    <w:rsid w:val="3F654598"/>
    <w:rsid w:val="3F6B266F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9E191C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9C521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0C0EDD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96B95"/>
    <w:rsid w:val="53953BE7"/>
    <w:rsid w:val="53F51637"/>
    <w:rsid w:val="540A70AB"/>
    <w:rsid w:val="54124FEF"/>
    <w:rsid w:val="541C4B67"/>
    <w:rsid w:val="54F40FAA"/>
    <w:rsid w:val="552A2893"/>
    <w:rsid w:val="556B045B"/>
    <w:rsid w:val="557D4E77"/>
    <w:rsid w:val="55C375DD"/>
    <w:rsid w:val="56156439"/>
    <w:rsid w:val="56643532"/>
    <w:rsid w:val="568B5A7B"/>
    <w:rsid w:val="569D77AB"/>
    <w:rsid w:val="57032072"/>
    <w:rsid w:val="570A6E63"/>
    <w:rsid w:val="5737338F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7A4A27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604FA"/>
    <w:rsid w:val="62385483"/>
    <w:rsid w:val="62385A6C"/>
    <w:rsid w:val="62876D77"/>
    <w:rsid w:val="62CA4AF4"/>
    <w:rsid w:val="62E4371E"/>
    <w:rsid w:val="63115743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0193E"/>
    <w:rsid w:val="69CC607C"/>
    <w:rsid w:val="69EA1163"/>
    <w:rsid w:val="69F96768"/>
    <w:rsid w:val="6A287F98"/>
    <w:rsid w:val="6AB40496"/>
    <w:rsid w:val="6ABA2404"/>
    <w:rsid w:val="6ABD1D5E"/>
    <w:rsid w:val="6AC8396E"/>
    <w:rsid w:val="6AF33939"/>
    <w:rsid w:val="6B0550E7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D173D2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47647B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B4ADF"/>
    <w:rsid w:val="76CD52EB"/>
    <w:rsid w:val="76FE004A"/>
    <w:rsid w:val="77462C4C"/>
    <w:rsid w:val="77A268F6"/>
    <w:rsid w:val="77CC3658"/>
    <w:rsid w:val="780F54C3"/>
    <w:rsid w:val="782C6CF7"/>
    <w:rsid w:val="786078A2"/>
    <w:rsid w:val="78680ECD"/>
    <w:rsid w:val="787B025A"/>
    <w:rsid w:val="7880670B"/>
    <w:rsid w:val="78AA2970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6634E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DDC6234"/>
    <w:rsid w:val="7E0A78B3"/>
    <w:rsid w:val="7E0D76D6"/>
    <w:rsid w:val="7E2912F3"/>
    <w:rsid w:val="7EFC2E31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4048C9-6DF5-49D4-9416-FFCBB3B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styleId="ae">
    <w:name w:val="page number"/>
    <w:basedOn w:val="a1"/>
    <w:rsid w:val="0021207C"/>
  </w:style>
  <w:style w:type="character" w:customStyle="1" w:styleId="Char">
    <w:name w:val="批注框文本 Char"/>
    <w:semiHidden/>
    <w:locked/>
    <w:rsid w:val="00433CE2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dcterms:created xsi:type="dcterms:W3CDTF">2020-11-08T15:18:00Z</dcterms:created>
  <dcterms:modified xsi:type="dcterms:W3CDTF">2022-01-24T14:21:00Z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C5BE7EDB789D44E9B1A867E2DF9DFF39</vt:lpwstr>
  </property>
</Properties>
</file>