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 w:themeColor="text1"/>
          <w:sz w:val="36"/>
          <w:szCs w:val="36"/>
        </w:rPr>
      </w:pPr>
      <w:r>
        <w:rPr>
          <w:rFonts w:hint="eastAsia" w:ascii="隶书" w:hAnsi="宋体" w:eastAsia="隶书"/>
          <w:bCs/>
          <w:color w:val="000000" w:themeColor="text1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过程与活动、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受审核部门：</w:t>
            </w:r>
            <w:bookmarkStart w:id="0" w:name="组织名称"/>
            <w:r>
              <w:rPr>
                <w:color w:val="000000" w:themeColor="text1"/>
                <w:sz w:val="21"/>
                <w:szCs w:val="21"/>
              </w:rPr>
              <w:t>福建经纬新纤科技实业有限公司</w:t>
            </w:r>
            <w:bookmarkEnd w:id="0"/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总经理：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林景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陪同人员：尹刚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0" w:lineRule="atLeast"/>
              <w:textAlignment w:val="auto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审核员：</w:t>
            </w:r>
            <w:bookmarkStart w:id="1" w:name="审核组成员不含组长"/>
            <w:r>
              <w:rPr>
                <w:rFonts w:hint="eastAsia"/>
                <w:color w:val="000000" w:themeColor="text1"/>
                <w:sz w:val="21"/>
                <w:szCs w:val="21"/>
              </w:rPr>
              <w:t>王宁敏</w:t>
            </w:r>
            <w:bookmarkEnd w:id="1"/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     审核时间：</w:t>
            </w:r>
            <w:bookmarkStart w:id="2" w:name="审核日期"/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2022年02月19日 上午至2022年02月19日 下午</w:t>
            </w:r>
            <w:bookmarkEnd w:id="2"/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，共</w:t>
            </w:r>
            <w:bookmarkStart w:id="3" w:name="审核天数"/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1.0</w:t>
            </w:r>
            <w:bookmarkEnd w:id="3"/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天。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合同基本信息确认: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02月19日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: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0-10: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确定审核范围的合理性（地址、产品/服务）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确定多现场和临时现场的地址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 xml:space="preserve">确定有效的员工人数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生产、服务的班次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体系运行时间是否满足6个月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2、了解企业基本情况：（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10:00-12:00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主要的相关方和期望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其他机构转入情况（适用时）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3、文件化体系策划情况（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13:00-15:00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- 管理手册；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- 文件化的程序；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- 作业文件；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- 记录表格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4、各管理体系的运行情况：（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15:00-17:00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对多场所/临时场所建立的控制的水平（适用时）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识别二阶段审核的资源配置情况和可行性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 w:eastAsia="宋体"/>
                <w:b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合同基本信息确认: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1月2日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eastAsia="zh-CN"/>
              </w:rPr>
              <w:t>9:00-10:30）</w:t>
            </w:r>
          </w:p>
          <w:p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核对资质证书（营业执照、生产（安全）许可证、行业许可证、3C证书等）原件和复印件/扫描件的一致性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4.1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《营业执照》</w:t>
            </w:r>
            <w:r>
              <w:rPr>
                <w:rFonts w:hint="eastAsia"/>
                <w:color w:val="000000" w:themeColor="text1"/>
                <w:szCs w:val="21"/>
              </w:rPr>
              <w:t>——：</w:t>
            </w: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正本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  <w:szCs w:val="21"/>
              </w:rPr>
              <w:t xml:space="preserve">副本； 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原件 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□复印件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firstLine="420" w:firstLineChars="200"/>
              <w:textAlignment w:val="auto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  <w:szCs w:val="21"/>
              </w:rPr>
              <w:t>编号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</w:rPr>
              <w:t>913501815616766764</w:t>
            </w:r>
            <w:r>
              <w:rPr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 xml:space="preserve">； 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有效期：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</w:rPr>
              <w:t>2010.9.16</w:t>
            </w:r>
            <w:r>
              <w:rPr>
                <w:rFonts w:hint="default" w:ascii="Arial" w:hAnsi="Arial" w:cs="Arial"/>
                <w:color w:val="000000" w:themeColor="text1"/>
                <w:szCs w:val="21"/>
                <w:u w:val="single"/>
                <w:lang w:val="en-US" w:eastAsia="zh-CN"/>
              </w:rPr>
              <w:t>~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</w:rPr>
              <w:t>2040.9.15</w:t>
            </w:r>
            <w:r>
              <w:rPr>
                <w:color w:val="000000" w:themeColor="text1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firstLine="420" w:firstLineChars="200"/>
              <w:textAlignment w:val="auto"/>
              <w:rPr>
                <w:rFonts w:hint="default"/>
                <w:color w:val="000000" w:themeColor="text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 w:themeColor="text1"/>
                <w:szCs w:val="21"/>
              </w:rPr>
              <w:t>相关描述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</w:rPr>
              <w:t>溶体直纺差别化化学纤维等高新技术纺织化纤生产；生产销售纺织化纤原料、棉纱及各类织布产品；自营和代理各类产品的进出口；但国家限定公司经营或禁止进出口的商品除外。（依法须经批准的项目，经相关部门批准后方可开展经营活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</w:rPr>
              <w:t xml:space="preserve">认证申请范围： </w:t>
            </w:r>
            <w:r>
              <w:rPr>
                <w:rFonts w:hint="eastAsia"/>
                <w:color w:val="000000" w:themeColor="text1"/>
                <w:u w:val="single"/>
                <w:lang w:val="en-US" w:eastAsia="zh-CN"/>
              </w:rPr>
              <w:t>纤维级聚酯切片、涤纶短纤维、长丝的生产及相关管理活动生产系统、附属生产系统所涉及的能源管理活动</w:t>
            </w:r>
            <w:r>
              <w:rPr>
                <w:rFonts w:hint="eastAsia"/>
                <w:color w:val="000000" w:themeColor="text1"/>
                <w:szCs w:val="21"/>
                <w:u w:val="single"/>
                <w:lang w:val="en-US" w:eastAsia="zh-CN"/>
              </w:rPr>
              <w:t xml:space="preserve">。 </w:t>
            </w:r>
          </w:p>
          <w:p>
            <w:pPr>
              <w:pStyle w:val="2"/>
              <w:rPr>
                <w:rFonts w:hint="eastAsia" w:eastAsia="宋体"/>
                <w:color w:val="000000" w:themeColor="text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u w:val="single"/>
                <w:lang w:val="en-US" w:eastAsia="zh-CN" w:bidi="ar-SA"/>
              </w:rPr>
              <w:drawing>
                <wp:inline distT="0" distB="0" distL="114300" distR="114300">
                  <wp:extent cx="1717675" cy="2431415"/>
                  <wp:effectExtent l="0" t="0" r="4445" b="6985"/>
                  <wp:docPr id="2" name="图片 2" descr="营业执照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营业执照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7675" cy="243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u w:val="single"/>
                <w:lang w:val="en-US" w:eastAsia="zh-CN" w:bidi="ar-SA"/>
              </w:rPr>
              <w:t>原件和复印件/扫描件的一致。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证件有效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证件失效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范围合规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确定审核范围的合理性（地址、产品/服务）</w:t>
            </w:r>
          </w:p>
          <w:p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4.3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注册地址：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</w:rPr>
              <w:t xml:space="preserve"> </w:t>
            </w:r>
            <w:bookmarkStart w:id="4" w:name="生产地址"/>
            <w:r>
              <w:rPr>
                <w:color w:val="000000" w:themeColor="text1"/>
                <w:sz w:val="21"/>
                <w:szCs w:val="21"/>
                <w:u w:val="single"/>
              </w:rPr>
              <w:t>福清市元洪投资区（城头镇山下村）</w:t>
            </w:r>
            <w:bookmarkEnd w:id="4"/>
            <w:r>
              <w:rPr>
                <w:color w:val="000000" w:themeColor="text1"/>
                <w:szCs w:val="21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与《营业执照》内容一致。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经营地址：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:u w:val="single"/>
              </w:rPr>
              <w:t>福清市元洪投资区（城头镇山下村）</w:t>
            </w:r>
            <w:r>
              <w:rPr>
                <w:color w:val="000000" w:themeColor="text1"/>
                <w:szCs w:val="21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注册地址与生产或服务现场一致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内容一致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内容不同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内容一致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4.3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多现场的名称和具体位置：</w:t>
            </w:r>
            <w:r>
              <w:rPr>
                <w:rFonts w:hint="eastAsia"/>
                <w:color w:val="000000" w:themeColor="text1"/>
                <w:lang w:val="en-US" w:eastAsia="zh-CN"/>
              </w:rPr>
              <w:t>无</w:t>
            </w:r>
          </w:p>
          <w:p>
            <w:pPr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</w:rPr>
              <w:t>现场1：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</w:rPr>
              <w:t xml:space="preserve">    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现场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</w:rPr>
              <w:t xml:space="preserve">    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多场所申报清单</w:t>
            </w:r>
            <w:r>
              <w:rPr>
                <w:rFonts w:hint="eastAsia"/>
                <w:color w:val="000000" w:themeColor="text1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内容一致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内容不同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内容一致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4.3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临时现场的名称和具体位置：</w:t>
            </w:r>
            <w:r>
              <w:rPr>
                <w:rFonts w:hint="eastAsia"/>
                <w:color w:val="000000" w:themeColor="text1"/>
                <w:lang w:val="en-US" w:eastAsia="zh-CN"/>
              </w:rPr>
              <w:t>无</w:t>
            </w:r>
          </w:p>
          <w:p>
            <w:pPr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</w:rPr>
              <w:t>现场1：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</w:rPr>
              <w:t>现场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企业在建项目清单</w:t>
            </w:r>
            <w:r>
              <w:rPr>
                <w:rFonts w:hint="eastAsia"/>
                <w:color w:val="000000" w:themeColor="text1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内容一致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内容不同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内容一致</w:t>
            </w:r>
          </w:p>
          <w:p>
            <w:pPr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  <w:t>7.1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认证范围内</w:t>
            </w:r>
            <w:r>
              <w:rPr>
                <w:rFonts w:hint="eastAsia"/>
                <w:color w:val="000000" w:themeColor="text1"/>
                <w:lang w:val="en-US" w:eastAsia="zh-CN"/>
              </w:rPr>
              <w:t>能源</w:t>
            </w:r>
            <w:r>
              <w:rPr>
                <w:rFonts w:hint="eastAsia"/>
                <w:color w:val="000000" w:themeColor="text1"/>
              </w:rPr>
              <w:t>管理体系覆盖的人数（总计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</w:rPr>
              <w:t>360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人</w:t>
            </w:r>
            <w:r>
              <w:rPr>
                <w:rFonts w:hint="eastAsia"/>
                <w:color w:val="000000" w:themeColor="text1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</w:rPr>
              <w:t>总人数：360</w:t>
            </w:r>
            <w:r>
              <w:rPr>
                <w:rFonts w:hint="eastAsia"/>
                <w:color w:val="000000" w:themeColor="text1"/>
              </w:rPr>
              <w:t>）</w:t>
            </w:r>
            <w:r>
              <w:rPr>
                <w:rFonts w:hint="eastAsia"/>
                <w:color w:val="000000" w:themeColor="text1"/>
                <w:lang w:val="en-US" w:eastAsia="zh-CN"/>
              </w:rPr>
              <w:t>。（现已现场进行核实为360人，能源体系覆盖人数也是360人）。</w:t>
            </w:r>
          </w:p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管理人员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</w:rPr>
              <w:t>66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人；</w:t>
            </w:r>
            <w:r>
              <w:rPr>
                <w:rFonts w:hint="eastAsia"/>
                <w:color w:val="000000" w:themeColor="text1"/>
                <w:lang w:val="en-US" w:eastAsia="zh-CN"/>
              </w:rPr>
              <w:t>工人 294人（含倒班）；其中 35余人拥有大专以上文凭；其中承包商 9 人；</w:t>
            </w:r>
            <w:r>
              <w:rPr>
                <w:rFonts w:hint="eastAsia"/>
                <w:color w:val="000000" w:themeColor="text1"/>
              </w:rPr>
              <w:t>劳务派遣人员</w:t>
            </w:r>
            <w:r>
              <w:rPr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  <w:lang w:val="en-US" w:eastAsia="zh-CN"/>
              </w:rPr>
              <w:t>0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人；临时工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lang w:val="en-US" w:eastAsia="zh-CN"/>
              </w:rPr>
              <w:t>0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人；季节工</w:t>
            </w:r>
            <w:r>
              <w:rPr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  <w:lang w:val="en-US" w:eastAsia="zh-CN"/>
              </w:rPr>
              <w:t>0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 人；</w:t>
            </w:r>
          </w:p>
          <w:p>
            <w:pPr>
              <w:pStyle w:val="2"/>
              <w:rPr>
                <w:rFonts w:hint="eastAsia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  <w:t>计量器具：</w:t>
            </w:r>
            <w:r>
              <w:rPr>
                <w:rFonts w:hint="eastAsia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  <w:t>数字式汽车衡  1（煤）；皮带秤1 （煤）；汽流量计11；电能表81；智能表（电）16；流量计（水）4。</w:t>
            </w:r>
          </w:p>
          <w:p>
            <w:pPr>
              <w:pStyle w:val="2"/>
              <w:rPr>
                <w:rFonts w:hint="default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  <w:t>主要耗能设备设施：116台套。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与申请一致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生产/服务的班次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  <w:t>4.4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单班（例如：</w:t>
            </w:r>
            <w:r>
              <w:rPr>
                <w:color w:val="000000" w:themeColor="text1"/>
                <w:szCs w:val="21"/>
              </w:rPr>
              <w:t>8:00- 1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7:30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 w:themeColor="text1"/>
                <w:szCs w:val="21"/>
              </w:rPr>
              <w:t>双班（例如：早班7:00-17:00；晚班17:00-03:00）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Cs w:val="21"/>
              </w:rPr>
              <w:t>三班（例如：早班</w:t>
            </w:r>
            <w:r>
              <w:rPr>
                <w:color w:val="000000" w:themeColor="text1"/>
                <w:szCs w:val="21"/>
              </w:rPr>
              <w:t>8:00- 16 :00</w:t>
            </w:r>
            <w:r>
              <w:rPr>
                <w:rFonts w:hint="eastAsia"/>
                <w:color w:val="000000" w:themeColor="text1"/>
                <w:szCs w:val="21"/>
              </w:rPr>
              <w:t>；晚班</w:t>
            </w:r>
            <w:r>
              <w:rPr>
                <w:color w:val="000000" w:themeColor="text1"/>
                <w:szCs w:val="21"/>
              </w:rPr>
              <w:t>16 :00- 24 :00</w:t>
            </w:r>
            <w:r>
              <w:rPr>
                <w:rFonts w:hint="eastAsia"/>
                <w:color w:val="000000" w:themeColor="text1"/>
                <w:szCs w:val="21"/>
              </w:rPr>
              <w:t>；夜班</w:t>
            </w:r>
            <w:r>
              <w:rPr>
                <w:color w:val="000000" w:themeColor="text1"/>
                <w:szCs w:val="21"/>
              </w:rPr>
              <w:t>24 :00-</w:t>
            </w:r>
            <w:r>
              <w:rPr>
                <w:rFonts w:hint="eastAsia"/>
                <w:color w:val="000000" w:themeColor="text1"/>
                <w:szCs w:val="21"/>
              </w:rPr>
              <w:t>次日</w:t>
            </w:r>
            <w:r>
              <w:rPr>
                <w:color w:val="000000" w:themeColor="text1"/>
                <w:szCs w:val="21"/>
              </w:rPr>
              <w:t xml:space="preserve"> 08 :00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体系运行时间是否满足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  <w:t>4.4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管理手册发布的时间：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4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15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日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至今管理体系已运行</w:t>
            </w: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rFonts w:hint="eastAsia"/>
                <w:color w:val="000000" w:themeColor="text1"/>
              </w:rPr>
              <w:t>个月以上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</w:rPr>
              <w:t>至今管理体系运行不足</w:t>
            </w:r>
            <w:r>
              <w:rPr>
                <w:rFonts w:hint="eastAsia"/>
                <w:color w:val="000000" w:themeColor="text1"/>
                <w:lang w:val="en-US" w:eastAsia="zh-CN"/>
              </w:rPr>
              <w:t>6</w:t>
            </w:r>
            <w:r>
              <w:rPr>
                <w:rFonts w:hint="eastAsia"/>
                <w:color w:val="000000" w:themeColor="text1"/>
              </w:rPr>
              <w:t>个月以</w:t>
            </w:r>
            <w:r>
              <w:rPr>
                <w:rFonts w:hint="eastAsia"/>
                <w:color w:val="000000" w:themeColor="text1"/>
                <w:lang w:val="en-US" w:eastAsia="zh-CN"/>
              </w:rPr>
              <w:t>上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b/>
                <w:bCs/>
                <w:color w:val="000000" w:themeColor="text1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了解企业基本情况：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（1月2日10:30-12:00）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 xml:space="preserve">主要的相关方和期望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其他机构转入情况（适用时）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  <w:t>4.1/4.2/6.1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- 主要的内部环境和外部环境分析的充分性</w:t>
            </w:r>
            <w:r>
              <w:rPr>
                <w:color w:val="000000" w:themeColor="text1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left"/>
              <w:textAlignment w:val="auto"/>
              <w:rPr>
                <w:color w:val="000000" w:themeColor="text1"/>
                <w:u w:val="single"/>
              </w:rPr>
            </w:pPr>
            <w:r>
              <w:rPr>
                <w:rFonts w:ascii="Wingdings" w:hAnsi="Wingdings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 xml:space="preserve">已实施   </w:t>
            </w:r>
            <w:r>
              <w:rPr>
                <w:rFonts w:ascii="Wingdings" w:hAnsi="Wingdings"/>
                <w:color w:val="000000" w:themeColor="text1"/>
              </w:rPr>
              <w:t>¨</w:t>
            </w:r>
            <w:r>
              <w:rPr>
                <w:rFonts w:hint="eastAsia"/>
                <w:color w:val="000000" w:themeColor="text1"/>
              </w:rPr>
              <w:t xml:space="preserve">不充分，需要完善： 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eastAsia="宋体"/>
                <w:color w:val="000000" w:themeColor="text1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18"/>
              </w:rPr>
              <w:t>- 主要的相关方和期望的充分性</w:t>
            </w:r>
            <w:r>
              <w:rPr>
                <w:color w:val="000000" w:themeColor="text1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left"/>
              <w:textAlignment w:val="auto"/>
              <w:rPr>
                <w:color w:val="000000" w:themeColor="text1"/>
                <w:u w:val="single"/>
              </w:rPr>
            </w:pPr>
            <w:r>
              <w:rPr>
                <w:rFonts w:ascii="Wingdings" w:hAnsi="Wingdings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 xml:space="preserve">已实施   </w:t>
            </w:r>
            <w:r>
              <w:rPr>
                <w:rFonts w:ascii="Wingdings" w:hAnsi="Wingdings"/>
                <w:color w:val="000000" w:themeColor="text1"/>
              </w:rPr>
              <w:t>¨</w:t>
            </w:r>
            <w:r>
              <w:rPr>
                <w:rFonts w:hint="eastAsia"/>
                <w:color w:val="000000" w:themeColor="text1"/>
              </w:rPr>
              <w:t xml:space="preserve">不充分，需要完善： 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- 确定风险的识别和评价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left"/>
              <w:textAlignment w:val="auto"/>
              <w:rPr>
                <w:color w:val="000000" w:themeColor="text1"/>
                <w:szCs w:val="18"/>
                <w:highlight w:val="cyan"/>
              </w:rPr>
            </w:pPr>
            <w:r>
              <w:rPr>
                <w:rFonts w:ascii="Wingdings" w:hAnsi="Wingdings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 xml:space="preserve">已实施   </w:t>
            </w:r>
            <w:r>
              <w:rPr>
                <w:rFonts w:ascii="Wingdings" w:hAnsi="Wingdings"/>
                <w:color w:val="000000" w:themeColor="text1"/>
              </w:rPr>
              <w:t>¨</w:t>
            </w:r>
            <w:r>
              <w:rPr>
                <w:rFonts w:hint="eastAsia"/>
                <w:color w:val="000000" w:themeColor="text1"/>
              </w:rPr>
              <w:t xml:space="preserve">不充分，需要完善： 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- 组织机构设置、职责分配及沟通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left"/>
              <w:textAlignment w:val="auto"/>
              <w:rPr>
                <w:color w:val="000000" w:themeColor="text1"/>
                <w:szCs w:val="18"/>
              </w:rPr>
            </w:pPr>
            <w:r>
              <w:rPr>
                <w:rFonts w:ascii="Wingdings" w:hAnsi="Wingdings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 xml:space="preserve">已实施   </w:t>
            </w:r>
            <w:r>
              <w:rPr>
                <w:rFonts w:ascii="Wingdings" w:hAnsi="Wingdings"/>
                <w:color w:val="000000" w:themeColor="text1"/>
              </w:rPr>
              <w:t>¨</w:t>
            </w:r>
            <w:r>
              <w:rPr>
                <w:rFonts w:hint="eastAsia"/>
                <w:color w:val="000000" w:themeColor="text1"/>
              </w:rPr>
              <w:t xml:space="preserve">不充分，需要完善： 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u w:val="single"/>
                <w:lang w:val="en-US" w:eastAsia="zh-CN"/>
              </w:rPr>
              <w:t>QMS关注</w:t>
            </w:r>
            <w:r>
              <w:rPr>
                <w:rFonts w:hint="eastAsia"/>
                <w:color w:val="000000" w:themeColor="text1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color w:val="000000" w:themeColor="text1"/>
                <w:szCs w:val="18"/>
                <w:highlight w:val="cy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- 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left"/>
              <w:textAlignment w:val="auto"/>
              <w:rPr>
                <w:rFonts w:hint="eastAsia"/>
                <w:color w:val="000000" w:themeColor="text1"/>
                <w:u w:val="single"/>
              </w:rPr>
            </w:pPr>
            <w:r>
              <w:rPr>
                <w:rFonts w:ascii="Wingdings" w:hAnsi="Wingdings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 xml:space="preserve">未发生   </w:t>
            </w:r>
            <w:r>
              <w:rPr>
                <w:rFonts w:ascii="Wingdings" w:hAnsi="Wingdings"/>
                <w:color w:val="000000" w:themeColor="text1"/>
              </w:rPr>
              <w:sym w:font="Wingdings" w:char="00A8"/>
            </w:r>
            <w:r>
              <w:rPr>
                <w:rFonts w:hint="eastAsia"/>
                <w:color w:val="000000" w:themeColor="text1"/>
              </w:rPr>
              <w:t xml:space="preserve">已发生，说明： </w:t>
            </w:r>
            <w:r>
              <w:rPr>
                <w:rFonts w:hint="eastAsia"/>
                <w:color w:val="000000" w:themeColor="text1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u w:val="single"/>
                <w:lang w:val="en-US" w:eastAsia="zh-CN"/>
              </w:rPr>
              <w:t>。</w:t>
            </w:r>
            <w:r>
              <w:rPr>
                <w:rFonts w:hint="eastAsia"/>
                <w:color w:val="000000" w:themeColor="text1"/>
                <w:u w:val="single"/>
              </w:rPr>
              <w:t xml:space="preserve">  </w:t>
            </w:r>
          </w:p>
          <w:p>
            <w:pPr>
              <w:pStyle w:val="2"/>
              <w:jc w:val="center"/>
              <w:rPr>
                <w:rFonts w:hint="eastAsia" w:eastAsia="华文细黑"/>
                <w:color w:val="000000" w:themeColor="text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宋体"/>
                <w:color w:val="000000" w:themeColor="text1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18"/>
              </w:rPr>
              <w:t>- 其他机构转入情况（适用时）</w:t>
            </w:r>
            <w:r>
              <w:rPr>
                <w:rFonts w:hint="eastAsia"/>
                <w:color w:val="000000" w:themeColor="text1"/>
                <w:szCs w:val="18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210" w:firstLineChars="10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18"/>
                <w:highlight w:val="cyan"/>
                <w:lang w:val="en-US" w:eastAsia="zh-CN" w:bidi="ar-SA"/>
              </w:rPr>
            </w:pPr>
            <w:r>
              <w:rPr>
                <w:rFonts w:ascii="Wingdings" w:hAnsi="Wingdings"/>
                <w:color w:val="000000" w:themeColor="text1"/>
              </w:rPr>
              <w:t>¨</w:t>
            </w:r>
            <w:r>
              <w:rPr>
                <w:rFonts w:hint="eastAsia"/>
                <w:color w:val="000000" w:themeColor="text1"/>
              </w:rPr>
              <w:t xml:space="preserve">已收集到以往的不符合项   </w:t>
            </w:r>
            <w:r>
              <w:rPr>
                <w:rFonts w:ascii="Wingdings" w:hAnsi="Wingdings"/>
                <w:color w:val="000000" w:themeColor="text1"/>
              </w:rPr>
              <w:t>¨</w:t>
            </w:r>
            <w:r>
              <w:rPr>
                <w:rFonts w:hint="eastAsia"/>
                <w:color w:val="000000" w:themeColor="text1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3、文件化体系策划情况（1月2日12:30-15:00）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-管理手册；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7.5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组织的文件化体系的结构——二阶段予以充分性审核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- 《能源管理手册》 1  份；覆盖了 □QMS □50430 □EMS</w:t>
            </w:r>
            <w:r>
              <w:rPr>
                <w:rFonts w:hint="eastAsia"/>
                <w:color w:val="000000" w:themeColor="text1"/>
                <w:szCs w:val="18"/>
              </w:rPr>
              <w:sym w:font="Wingdings 2" w:char="0052"/>
            </w:r>
            <w:r>
              <w:rPr>
                <w:rFonts w:hint="eastAsia"/>
                <w:color w:val="000000" w:themeColor="text1"/>
                <w:szCs w:val="18"/>
              </w:rPr>
              <w:t xml:space="preserve"> EnMS □OHSMS  □FSMS □HACCP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eastAsia="宋体"/>
                <w:b/>
                <w:bCs/>
                <w:color w:val="FF0000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Cs w:val="18"/>
                <w:lang w:val="en-US" w:eastAsia="zh-CN"/>
              </w:rPr>
              <w:t>文件审核问题：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FF0000"/>
                <w:szCs w:val="18"/>
              </w:rPr>
              <w:t>在</w:t>
            </w:r>
            <w:r>
              <w:rPr>
                <w:rFonts w:hint="eastAsia"/>
                <w:b/>
                <w:bCs/>
                <w:color w:val="FF0000"/>
                <w:szCs w:val="18"/>
                <w:lang w:eastAsia="zh-CN"/>
              </w:rPr>
              <w:t>“</w:t>
            </w:r>
            <w:r>
              <w:rPr>
                <w:rFonts w:hint="eastAsia"/>
                <w:b/>
                <w:bCs/>
                <w:color w:val="FF0000"/>
                <w:szCs w:val="18"/>
                <w:lang w:val="en-US" w:eastAsia="zh-CN"/>
              </w:rPr>
              <w:t>封面</w:t>
            </w:r>
            <w:r>
              <w:rPr>
                <w:rFonts w:hint="eastAsia"/>
                <w:b/>
                <w:bCs/>
                <w:color w:val="FF0000"/>
                <w:szCs w:val="18"/>
                <w:lang w:eastAsia="zh-CN"/>
              </w:rPr>
              <w:t>”、</w:t>
            </w:r>
            <w:r>
              <w:rPr>
                <w:rFonts w:hint="eastAsia"/>
                <w:b/>
                <w:bCs/>
                <w:color w:val="FF0000"/>
                <w:szCs w:val="18"/>
              </w:rPr>
              <w:t>“能源管理手册实施令”、</w:t>
            </w:r>
            <w:r>
              <w:rPr>
                <w:rFonts w:hint="eastAsia"/>
                <w:b/>
                <w:bCs/>
                <w:color w:val="FF0000"/>
                <w:szCs w:val="18"/>
                <w:lang w:eastAsia="zh-CN"/>
              </w:rPr>
              <w:t>“管理者代表任命书”、“</w:t>
            </w:r>
            <w:r>
              <w:rPr>
                <w:rFonts w:hint="eastAsia"/>
                <w:b/>
                <w:bCs/>
                <w:color w:val="FF0000"/>
                <w:szCs w:val="18"/>
                <w:lang w:val="en-US" w:eastAsia="zh-CN"/>
              </w:rPr>
              <w:t>1.1总则</w:t>
            </w:r>
            <w:r>
              <w:rPr>
                <w:rFonts w:hint="eastAsia"/>
                <w:b/>
                <w:bCs/>
                <w:color w:val="FF0000"/>
                <w:szCs w:val="18"/>
                <w:lang w:eastAsia="zh-CN"/>
              </w:rPr>
              <w:t>”、</w:t>
            </w:r>
            <w:r>
              <w:rPr>
                <w:rFonts w:hint="eastAsia"/>
                <w:b/>
                <w:bCs/>
                <w:color w:val="FF0000"/>
                <w:szCs w:val="18"/>
              </w:rPr>
              <w:t xml:space="preserve">“2  </w:t>
            </w:r>
            <w:r>
              <w:rPr>
                <w:rFonts w:hint="eastAsia"/>
                <w:b/>
                <w:bCs/>
                <w:color w:val="FF0000"/>
                <w:szCs w:val="18"/>
                <w:lang w:val="en-US" w:eastAsia="zh-CN"/>
              </w:rPr>
              <w:t>规范性引用文件</w:t>
            </w:r>
            <w:r>
              <w:rPr>
                <w:rFonts w:hint="eastAsia"/>
                <w:b/>
                <w:bCs/>
                <w:color w:val="FF0000"/>
                <w:szCs w:val="18"/>
              </w:rPr>
              <w:t>”、“3  术语</w:t>
            </w:r>
            <w:r>
              <w:rPr>
                <w:rFonts w:hint="eastAsia"/>
                <w:b/>
                <w:bCs/>
                <w:color w:val="FF0000"/>
                <w:szCs w:val="18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color w:val="FF0000"/>
                <w:szCs w:val="18"/>
              </w:rPr>
              <w:t>定义”</w:t>
            </w:r>
            <w:r>
              <w:rPr>
                <w:rFonts w:hint="eastAsia"/>
                <w:b/>
                <w:bCs/>
                <w:color w:val="FF0000"/>
                <w:szCs w:val="18"/>
                <w:lang w:eastAsia="zh-CN"/>
              </w:rPr>
              <w:t>、“4.4 能源管理体系”、</w:t>
            </w:r>
            <w:r>
              <w:rPr>
                <w:rFonts w:hint="eastAsia"/>
                <w:b/>
                <w:bCs/>
                <w:color w:val="FF0000"/>
                <w:szCs w:val="18"/>
              </w:rPr>
              <w:t>等段落缺少</w:t>
            </w:r>
            <w:r>
              <w:rPr>
                <w:rFonts w:hint="eastAsia"/>
                <w:b/>
                <w:bCs/>
                <w:color w:val="FF0000"/>
                <w:szCs w:val="18"/>
                <w:lang w:val="en-US" w:eastAsia="zh-CN"/>
              </w:rPr>
              <w:t>对</w:t>
            </w:r>
            <w:r>
              <w:rPr>
                <w:rFonts w:hint="eastAsia"/>
                <w:b/>
                <w:bCs/>
                <w:color w:val="FF0000"/>
                <w:szCs w:val="18"/>
              </w:rPr>
              <w:t>标准</w:t>
            </w:r>
            <w:r>
              <w:rPr>
                <w:rFonts w:hint="eastAsia"/>
                <w:b/>
                <w:bCs/>
                <w:color w:val="FF0000"/>
                <w:szCs w:val="18"/>
                <w:lang w:eastAsia="zh-CN"/>
              </w:rPr>
              <w:t>“RB∕T 114-2014能源管理体系 纯碱、焦化、橡塑制品、制药等化工企业认证要求”</w:t>
            </w:r>
            <w:r>
              <w:rPr>
                <w:rFonts w:hint="eastAsia" w:eastAsia="宋体"/>
                <w:b/>
                <w:bCs/>
                <w:color w:val="FF0000"/>
                <w:szCs w:val="18"/>
              </w:rPr>
              <w:t>的加入</w:t>
            </w:r>
            <w:r>
              <w:rPr>
                <w:rFonts w:hint="eastAsia" w:eastAsia="宋体"/>
                <w:b/>
                <w:bCs/>
                <w:color w:val="FF0000"/>
                <w:szCs w:val="18"/>
                <w:lang w:val="en-US" w:eastAsia="zh-CN"/>
              </w:rPr>
              <w:t>和</w:t>
            </w:r>
            <w:r>
              <w:rPr>
                <w:rFonts w:hint="eastAsia" w:eastAsia="宋体"/>
                <w:b/>
                <w:bCs/>
                <w:color w:val="FF0000"/>
                <w:szCs w:val="18"/>
              </w:rPr>
              <w:t>描述</w:t>
            </w:r>
            <w:r>
              <w:rPr>
                <w:rFonts w:hint="eastAsia" w:eastAsia="宋体"/>
                <w:b/>
                <w:bCs/>
                <w:color w:val="FF0000"/>
                <w:szCs w:val="18"/>
                <w:lang w:eastAsia="zh-CN"/>
              </w:rPr>
              <w:t>，</w:t>
            </w:r>
            <w:r>
              <w:rPr>
                <w:rFonts w:hint="eastAsia"/>
                <w:b/>
                <w:bCs/>
                <w:color w:val="FF0000"/>
                <w:szCs w:val="18"/>
                <w:lang w:val="en-US" w:eastAsia="zh-CN"/>
              </w:rPr>
              <w:t>而不是</w:t>
            </w:r>
            <w:r>
              <w:rPr>
                <w:rFonts w:hint="eastAsia"/>
                <w:b/>
                <w:bCs/>
                <w:color w:val="FF0000"/>
                <w:szCs w:val="18"/>
              </w:rPr>
              <w:t>“</w:t>
            </w:r>
            <w:r>
              <w:rPr>
                <w:rFonts w:hint="eastAsia" w:eastAsia="宋体"/>
                <w:b/>
                <w:bCs/>
                <w:color w:val="FF0000"/>
                <w:szCs w:val="18"/>
              </w:rPr>
              <w:t>RB/T 102-2013《能源管理体系 纺织企业认证要求》”。</w:t>
            </w:r>
            <w:r>
              <w:rPr>
                <w:rFonts w:hint="eastAsia"/>
                <w:b/>
                <w:bCs/>
                <w:color w:val="FF0000"/>
                <w:szCs w:val="18"/>
                <w:lang w:val="en-US" w:eastAsia="zh-CN"/>
              </w:rPr>
              <w:t>要求二阶段时整改。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满足要求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不满足要求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基本</w:t>
            </w:r>
            <w:r>
              <w:rPr>
                <w:rFonts w:hint="eastAsia"/>
                <w:color w:val="000000" w:themeColor="text1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-文件化的程序；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7.5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 xml:space="preserve">- 文件化的程序； </w:t>
            </w:r>
            <w:r>
              <w:rPr>
                <w:rFonts w:hint="eastAsia"/>
                <w:color w:val="000000" w:themeColor="text1"/>
                <w:szCs w:val="18"/>
                <w:lang w:val="en-US" w:eastAsia="zh-CN"/>
              </w:rPr>
              <w:t>19</w:t>
            </w:r>
            <w:r>
              <w:rPr>
                <w:rFonts w:hint="eastAsia"/>
                <w:color w:val="000000" w:themeColor="text1"/>
                <w:szCs w:val="18"/>
              </w:rPr>
              <w:t xml:space="preserve"> 份；详见《</w:t>
            </w:r>
            <w:r>
              <w:rPr>
                <w:rFonts w:hint="eastAsia"/>
                <w:color w:val="000000" w:themeColor="text1"/>
                <w:szCs w:val="18"/>
                <w:lang w:val="en-US" w:eastAsia="zh-CN"/>
              </w:rPr>
              <w:t>程序</w:t>
            </w:r>
            <w:r>
              <w:rPr>
                <w:rFonts w:hint="eastAsia"/>
                <w:color w:val="000000" w:themeColor="text1"/>
                <w:szCs w:val="18"/>
              </w:rPr>
              <w:t>文件清单》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 xml:space="preserve">- </w:t>
            </w:r>
            <w:r>
              <w:rPr>
                <w:rFonts w:hint="eastAsia"/>
                <w:color w:val="000000" w:themeColor="text1"/>
                <w:szCs w:val="18"/>
                <w:lang w:val="en-US" w:eastAsia="zh-CN"/>
              </w:rPr>
              <w:t>能源</w:t>
            </w:r>
            <w:r>
              <w:rPr>
                <w:rFonts w:hint="eastAsia"/>
                <w:color w:val="000000" w:themeColor="text1"/>
                <w:szCs w:val="18"/>
              </w:rPr>
              <w:t>作业文件</w:t>
            </w:r>
            <w:r>
              <w:rPr>
                <w:rFonts w:hint="eastAsia"/>
                <w:color w:val="000000" w:themeColor="text1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szCs w:val="18"/>
                <w:lang w:val="en-US" w:eastAsia="zh-CN"/>
              </w:rPr>
              <w:t>管理制度</w:t>
            </w:r>
            <w:r>
              <w:rPr>
                <w:rFonts w:hint="eastAsia"/>
                <w:color w:val="000000" w:themeColor="text1"/>
                <w:szCs w:val="18"/>
                <w:lang w:eastAsia="zh-CN"/>
              </w:rPr>
              <w:t>）</w:t>
            </w:r>
            <w:r>
              <w:rPr>
                <w:rFonts w:hint="eastAsia"/>
                <w:color w:val="000000" w:themeColor="text1"/>
                <w:szCs w:val="18"/>
              </w:rPr>
              <w:t xml:space="preserve">；  </w:t>
            </w:r>
            <w:r>
              <w:rPr>
                <w:rFonts w:hint="eastAsia"/>
                <w:color w:val="000000" w:themeColor="text1"/>
                <w:szCs w:val="18"/>
                <w:lang w:val="en-US" w:eastAsia="zh-CN"/>
              </w:rPr>
              <w:t>209</w:t>
            </w:r>
            <w:r>
              <w:rPr>
                <w:rFonts w:hint="eastAsia"/>
                <w:color w:val="000000" w:themeColor="text1"/>
                <w:szCs w:val="18"/>
              </w:rPr>
              <w:t xml:space="preserve"> 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18"/>
              </w:rPr>
              <w:t xml:space="preserve">- 记录表格； </w:t>
            </w:r>
            <w:r>
              <w:rPr>
                <w:rFonts w:hint="eastAsia"/>
                <w:color w:val="000000" w:themeColor="text1"/>
                <w:szCs w:val="18"/>
                <w:lang w:val="en-US" w:eastAsia="zh-CN"/>
              </w:rPr>
              <w:t>若干</w:t>
            </w:r>
            <w:r>
              <w:rPr>
                <w:rFonts w:hint="eastAsia"/>
                <w:color w:val="000000" w:themeColor="text1"/>
                <w:szCs w:val="18"/>
              </w:rPr>
              <w:t xml:space="preserve"> 份；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满足要求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不满足要求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基本</w:t>
            </w:r>
            <w:r>
              <w:rPr>
                <w:rFonts w:hint="eastAsia"/>
                <w:color w:val="000000" w:themeColor="text1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4、各管理体系的运行情况：（15:00-16:30）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管理方针制定与贯彻情况</w:t>
            </w:r>
          </w:p>
          <w:p>
            <w:pPr>
              <w:rPr>
                <w:rFonts w:hint="eastAsia" w:eastAsia="宋体"/>
                <w:b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5.2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组织文件化的管理方针已制定，</w:t>
            </w:r>
            <w:r>
              <w:rPr>
                <w:rFonts w:hint="eastAsia"/>
                <w:color w:val="000000" w:themeColor="text1"/>
                <w:szCs w:val="18"/>
                <w:u w:val="none"/>
              </w:rPr>
              <w:t>能源方针</w:t>
            </w:r>
            <w:r>
              <w:rPr>
                <w:rFonts w:hint="eastAsia"/>
                <w:color w:val="000000" w:themeColor="text1"/>
                <w:szCs w:val="18"/>
              </w:rPr>
              <w:t>内容为：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遵守法规，节约成本；提高能效，持续改进。</w:t>
            </w:r>
            <w:r>
              <w:rPr>
                <w:color w:val="000000" w:themeColor="text1"/>
                <w:szCs w:val="18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18"/>
              </w:rPr>
              <w:t>贯彻情况：</w:t>
            </w: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  <w:spacing w:val="-2"/>
                <w:szCs w:val="21"/>
              </w:rPr>
              <w:t>文件发放</w:t>
            </w:r>
            <w:r>
              <w:rPr>
                <w:color w:val="000000" w:themeColor="text1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□标语 □</w:t>
            </w:r>
            <w:r>
              <w:rPr>
                <w:rFonts w:hint="eastAsia"/>
                <w:color w:val="000000" w:themeColor="text1"/>
                <w:spacing w:val="-2"/>
                <w:szCs w:val="21"/>
              </w:rPr>
              <w:t>展板</w:t>
            </w:r>
            <w:r>
              <w:rPr>
                <w:color w:val="000000" w:themeColor="text1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  <w:spacing w:val="-2"/>
                <w:szCs w:val="21"/>
              </w:rPr>
              <w:t>网站</w:t>
            </w:r>
            <w:r>
              <w:rPr>
                <w:color w:val="000000" w:themeColor="text1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  <w:spacing w:val="-2"/>
                <w:szCs w:val="21"/>
              </w:rPr>
              <w:t>员工手册</w:t>
            </w:r>
            <w:r>
              <w:rPr>
                <w:color w:val="000000" w:themeColor="text1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9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管理目标及完成统计</w:t>
            </w:r>
          </w:p>
          <w:p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6.2</w:t>
            </w:r>
          </w:p>
          <w:p>
            <w:pPr>
              <w:pStyle w:val="2"/>
              <w:rPr>
                <w:rFonts w:hint="eastAsia"/>
                <w:b/>
                <w:bCs/>
                <w:color w:val="000000" w:themeColor="text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bCs/>
                <w:color w:val="000000" w:themeColor="text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bCs/>
                <w:color w:val="000000" w:themeColor="text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b/>
                <w:bCs/>
                <w:color w:val="000000" w:themeColor="text1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b/>
                <w:bCs/>
                <w:color w:val="000000" w:themeColor="text1"/>
                <w:lang w:val="en-US" w:eastAsia="zh-CN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组织文件化的管理目标已制定，内容为：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公司级能源目标指标：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2021年目标：聚酯熔体或切片A≦86.62kgce/t；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         聚酯熔体或切片B≦86.48kgce/t；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         短纤维≦94.39kgce/t；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         预取向丝POY≦41.55kgce/t；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         全拉伸丝FDY≦52.89kgce/t；（以2020年实际完成情况为目标）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2021年目标完成情况：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840" w:firstLineChars="4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聚酯熔体或切片A：85.67kgce/t；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840" w:firstLineChars="4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聚酯熔体或切片B：88.89kgce/t；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840" w:firstLineChars="4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短纤维：94.76kgce/t；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840" w:firstLineChars="4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预取向丝POY：38.79kgce/t；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840" w:firstLineChars="4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全拉伸丝FDY:55.10kgce/t；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从上述指标来看聚酯熔体或切片B、短纤维、全拉伸丝FDY超标，企业有超目标的原因分析，见生产部、公用部的审核。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2022年的目标为：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840" w:firstLineChars="4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聚酯熔体或切片A：≦85.67kgce/t；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840" w:firstLineChars="4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聚酯熔体或切片B：≦88.89kgce/t；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840" w:firstLineChars="4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短纤维：≦94.76kgce/t；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840" w:firstLineChars="4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预取向丝POY：≦38.79kgce/t；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840" w:firstLineChars="400"/>
              <w:textAlignment w:val="auto"/>
              <w:rPr>
                <w:rFonts w:hint="eastAsia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全拉伸丝FDY:≦55.10kgce/t；（以2021年实际完成情况为目标）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20" w:firstLineChars="200"/>
              <w:textAlignment w:val="auto"/>
              <w:rPr>
                <w:rFonts w:hint="eastAsia"/>
                <w:color w:val="000000" w:themeColor="text1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2"/>
                <w:lang w:val="en-US" w:eastAsia="zh-CN"/>
              </w:rPr>
              <w:t>因1月-2月15停车检修，没有对2022年1月份的能耗完成情况进行考核。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rFonts w:hint="default"/>
                <w:color w:val="000000" w:themeColor="text1"/>
                <w:lang w:val="en-US" w:eastAsia="zh-C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满足要求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80" w:line="240" w:lineRule="auto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员工对相关标准的认知和能力（贯标培训、应知应会、持证上岗等）</w:t>
            </w:r>
          </w:p>
          <w:p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  <w:t>7.2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标准宣贯的时间：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3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20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日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□QMS  □EMS  □OHSMS  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Cs w:val="21"/>
              </w:rPr>
              <w:t>E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n</w:t>
            </w:r>
            <w:r>
              <w:rPr>
                <w:rFonts w:hint="eastAsia"/>
                <w:color w:val="000000" w:themeColor="text1"/>
                <w:szCs w:val="21"/>
              </w:rPr>
              <w:t>MS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Cs w:val="21"/>
              </w:rPr>
              <w:t xml:space="preserve">□FSMSMS  □HACCP  </w:t>
            </w:r>
          </w:p>
          <w:p>
            <w:pPr>
              <w:widowControl/>
              <w:jc w:val="left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</w:rPr>
              <w:t>已培训了相关标准和内审员知识；</w:t>
            </w: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至今未培训相关标准和内审员知识</w:t>
            </w: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000000" w:themeColor="text1"/>
                <w:szCs w:val="21"/>
              </w:rPr>
              <w:t>□满足要求，</w:t>
            </w: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  <w:szCs w:val="21"/>
              </w:rPr>
              <w:t>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b/>
                <w:bCs/>
                <w:color w:val="000000" w:themeColor="text1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相关方/客户的反馈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4.2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- 主要的相关方和期望的充分性</w:t>
            </w:r>
            <w:r>
              <w:rPr>
                <w:color w:val="000000" w:themeColor="text1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left"/>
              <w:textAlignment w:val="auto"/>
              <w:rPr>
                <w:color w:val="000000" w:themeColor="text1"/>
                <w:u w:val="single"/>
              </w:rPr>
            </w:pPr>
            <w:r>
              <w:rPr>
                <w:rFonts w:ascii="Wingdings" w:hAnsi="Wingdings"/>
                <w:color w:val="000000" w:themeColor="text1"/>
              </w:rPr>
              <w:sym w:font="Wingdings" w:char="00FE"/>
            </w:r>
            <w:r>
              <w:rPr>
                <w:rFonts w:hint="eastAsia"/>
                <w:color w:val="000000" w:themeColor="text1"/>
              </w:rPr>
              <w:t xml:space="preserve">已实施   </w:t>
            </w:r>
            <w:r>
              <w:rPr>
                <w:rFonts w:ascii="Wingdings" w:hAnsi="Wingdings"/>
                <w:color w:val="000000" w:themeColor="text1"/>
              </w:rPr>
              <w:t>¨</w:t>
            </w:r>
            <w:r>
              <w:rPr>
                <w:rFonts w:hint="eastAsia"/>
                <w:color w:val="000000" w:themeColor="text1"/>
              </w:rPr>
              <w:t xml:space="preserve">不充分，需要完善： 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内审的策划和实施</w:t>
            </w:r>
          </w:p>
          <w:p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9.2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自管理体系建立后，于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9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7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Cs w:val="18"/>
              </w:rPr>
              <w:t>内审计划、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Cs w:val="18"/>
              </w:rPr>
              <w:t>内审检查表、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Cs w:val="18"/>
              </w:rPr>
              <w:t>不符合项报告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份</w:t>
            </w:r>
            <w:r>
              <w:rPr>
                <w:rFonts w:hint="eastAsia"/>
                <w:color w:val="000000" w:themeColor="text1"/>
                <w:szCs w:val="18"/>
                <w:lang w:eastAsia="zh-CN"/>
              </w:rPr>
              <w:t>，对体系整体运行的有效性影响较轻，通过现场交流的方式得到解决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Cs w:val="18"/>
              </w:rPr>
              <w:t>内审报告</w:t>
            </w:r>
            <w:r>
              <w:rPr>
                <w:rFonts w:hint="eastAsia"/>
                <w:color w:val="000000" w:themeColor="text1"/>
                <w:szCs w:val="18"/>
                <w:lang w:eastAsia="zh-CN"/>
              </w:rPr>
              <w:t>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满足要求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不满足要求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基本</w:t>
            </w:r>
            <w:r>
              <w:rPr>
                <w:rFonts w:hint="eastAsia"/>
                <w:color w:val="000000" w:themeColor="text1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管理体系的评审</w:t>
            </w:r>
          </w:p>
          <w:p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9.3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 w:themeColor="text1"/>
                <w:szCs w:val="18"/>
              </w:rPr>
            </w:pPr>
            <w:r>
              <w:rPr>
                <w:rFonts w:hint="eastAsia"/>
                <w:color w:val="000000" w:themeColor="text1"/>
                <w:szCs w:val="18"/>
              </w:rPr>
              <w:t>自管理体系建立后，于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9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color w:val="000000" w:themeColor="text1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 w:themeColor="text1"/>
                <w:szCs w:val="18"/>
                <w:u w:val="single"/>
                <w:lang w:val="en-US" w:eastAsia="zh-CN"/>
              </w:rPr>
              <w:t>25</w:t>
            </w:r>
            <w:r>
              <w:rPr>
                <w:color w:val="000000" w:themeColor="text1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000000" w:themeColor="text1"/>
                <w:szCs w:val="18"/>
              </w:rPr>
              <w:t>日</w:t>
            </w:r>
            <w:r>
              <w:rPr>
                <w:rFonts w:hint="eastAsia"/>
                <w:color w:val="000000" w:themeColor="text1"/>
                <w:szCs w:val="18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  <w:szCs w:val="18"/>
              </w:rPr>
              <w:t>上午9:00—下午11:00实施了管理评审；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Cs w:val="21"/>
              </w:rPr>
              <w:t>管理评审输入</w:t>
            </w:r>
            <w:r>
              <w:rPr>
                <w:rFonts w:hint="eastAsia"/>
                <w:color w:val="000000" w:themeColor="text1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Cs w:val="18"/>
              </w:rPr>
              <w:t>管理评审输出（报告）</w:t>
            </w:r>
            <w:r>
              <w:rPr>
                <w:rFonts w:hint="eastAsia"/>
                <w:color w:val="000000" w:themeColor="text1"/>
                <w:szCs w:val="18"/>
                <w:lang w:eastAsia="zh-CN"/>
              </w:rPr>
              <w:t>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满足要求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不满足要求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52"/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基本</w:t>
            </w:r>
            <w:r>
              <w:rPr>
                <w:rFonts w:hint="eastAsia"/>
                <w:color w:val="000000" w:themeColor="text1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对多现场（固定）建立的控制的水平（适用时）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4.3/4.4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多现场的名称和具体位置：</w:t>
            </w:r>
            <w:r>
              <w:rPr>
                <w:rFonts w:hint="eastAsia"/>
                <w:color w:val="000000" w:themeColor="text1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</w:rPr>
              <w:t>现场1：</w:t>
            </w:r>
            <w:r>
              <w:rPr>
                <w:color w:val="000000" w:themeColor="text1"/>
                <w:szCs w:val="21"/>
                <w:u w:val="singl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现场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多场所申报清单</w:t>
            </w:r>
            <w:r>
              <w:rPr>
                <w:rFonts w:hint="eastAsia"/>
                <w:color w:val="000000" w:themeColor="text1"/>
              </w:rPr>
              <w:t>》是否一致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内容一致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内容不同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sym w:font="Wingdings 2" w:char="00A3"/>
            </w:r>
            <w:r>
              <w:rPr>
                <w:rFonts w:hint="eastAsia"/>
                <w:color w:val="000000" w:themeColor="text1"/>
              </w:rPr>
              <w:t>内容一致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对临时场所建立的控制的水平（适用时）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0" w:lineRule="atLeast"/>
              <w:textAlignment w:val="auto"/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4.3/4.4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eastAsia="宋体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</w:rPr>
              <w:t>临时现场的名称和具体位置：</w:t>
            </w:r>
            <w:r>
              <w:rPr>
                <w:rFonts w:hint="eastAsia"/>
                <w:color w:val="000000" w:themeColor="text1"/>
                <w:lang w:val="en-US"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</w:rPr>
              <w:t>现场1：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  <w:szCs w:val="21"/>
                <w:u w:val="single"/>
              </w:rPr>
            </w:pPr>
            <w:r>
              <w:rPr>
                <w:rFonts w:hint="eastAsia"/>
                <w:color w:val="000000" w:themeColor="text1"/>
              </w:rPr>
              <w:t>现场</w:t>
            </w: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  <w:szCs w:val="21"/>
                <w:u w:val="single"/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  <w:szCs w:val="21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</w:rPr>
              <w:t>企业在建项目清单</w:t>
            </w:r>
            <w:r>
              <w:rPr>
                <w:rFonts w:hint="eastAsia"/>
                <w:color w:val="000000" w:themeColor="text1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内容一致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内容不同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内容一致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Cs w:val="21"/>
              </w:rPr>
              <w:t>□</w:t>
            </w:r>
            <w:r>
              <w:rPr>
                <w:rFonts w:hint="eastAsia"/>
                <w:color w:val="000000" w:themeColor="text1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000000" w:themeColor="text1"/>
                <w:kern w:val="2"/>
                <w:sz w:val="21"/>
                <w:lang w:val="en-US" w:eastAsia="zh-CN" w:bidi="ar-SA"/>
              </w:rPr>
              <w:t>7.1/4.1/5.3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有生产/服务现场   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领导层可以迎审  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交通食宿  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劳保用品  </w:t>
            </w: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其他：         </w:t>
            </w: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识别二阶段审核的可行性</w:t>
            </w:r>
          </w:p>
          <w:p>
            <w:pPr>
              <w:pStyle w:val="1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二阶段日期的可接受性  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一阶段的问题已整改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不存在影响二阶段审核的问题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00" w:firstLineChars="200"/>
              <w:jc w:val="left"/>
              <w:textAlignment w:val="auto"/>
              <w:rPr>
                <w:rFonts w:hint="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lang w:val="en-US" w:eastAsia="zh-CN"/>
              </w:rPr>
              <w:t>公司</w:t>
            </w:r>
            <w:r>
              <w:rPr>
                <w:rFonts w:hint="eastAsia"/>
                <w:color w:val="000000" w:themeColor="text1"/>
                <w:szCs w:val="21"/>
              </w:rPr>
              <w:t>总人数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360</w:t>
            </w:r>
            <w:r>
              <w:rPr>
                <w:rFonts w:hint="eastAsia"/>
                <w:color w:val="000000" w:themeColor="text1"/>
                <w:szCs w:val="21"/>
              </w:rPr>
              <w:t>人，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其中能源体系覆盖人数360人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 w:themeColor="text1"/>
                <w:szCs w:val="21"/>
              </w:rPr>
              <w:t>大专以上学历</w:t>
            </w:r>
            <w:bookmarkStart w:id="5" w:name="_GoBack"/>
            <w:bookmarkEnd w:id="5"/>
            <w:r>
              <w:rPr>
                <w:rFonts w:hint="eastAsia"/>
                <w:color w:val="000000" w:themeColor="text1"/>
                <w:szCs w:val="21"/>
              </w:rPr>
              <w:t>人数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35</w:t>
            </w:r>
            <w:r>
              <w:rPr>
                <w:rFonts w:hint="eastAsia"/>
                <w:color w:val="000000" w:themeColor="text1"/>
                <w:szCs w:val="21"/>
              </w:rPr>
              <w:t>人；管理人员 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66</w:t>
            </w:r>
            <w:r>
              <w:rPr>
                <w:rFonts w:hint="eastAsia"/>
                <w:color w:val="000000" w:themeColor="text1"/>
                <w:szCs w:val="21"/>
              </w:rPr>
              <w:t>人，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工人总数294人（含倒班）；</w:t>
            </w:r>
            <w:r>
              <w:rPr>
                <w:rFonts w:hint="eastAsia"/>
                <w:color w:val="000000" w:themeColor="text1"/>
                <w:szCs w:val="21"/>
              </w:rPr>
              <w:t>劳务派遣人员0 人；临时工0 人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其中承包商员工数9人；</w:t>
            </w:r>
            <w:r>
              <w:rPr>
                <w:rFonts w:hint="eastAsia"/>
                <w:color w:val="000000" w:themeColor="text1"/>
                <w:szCs w:val="21"/>
              </w:rPr>
              <w:t>季节工 0 人</w:t>
            </w:r>
            <w:r>
              <w:rPr>
                <w:rFonts w:hint="eastAsia"/>
                <w:color w:val="000000" w:themeColor="text1"/>
                <w:szCs w:val="21"/>
                <w:lang w:eastAsia="zh-CN"/>
              </w:rPr>
              <w:t>。</w:t>
            </w:r>
          </w:p>
          <w:p>
            <w:pPr>
              <w:pStyle w:val="2"/>
              <w:ind w:firstLine="420" w:firstLineChars="200"/>
              <w:rPr>
                <w:rFonts w:hint="eastAsia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  <w:t>计量器具：</w:t>
            </w:r>
            <w:r>
              <w:rPr>
                <w:rFonts w:hint="eastAsia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  <w:t>数字式汽车衡  1（煤）；皮带秤1 （煤）；汽流量计11；电能表81；智能表（电）16；流量计（水）4。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left"/>
              <w:textAlignment w:val="auto"/>
              <w:rPr>
                <w:rFonts w:hint="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  <w:t>主要耗能</w:t>
            </w:r>
            <w:r>
              <w:rPr>
                <w:rFonts w:hint="eastAsia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  <w:t>设备</w:t>
            </w:r>
            <w:r>
              <w:rPr>
                <w:rFonts w:hint="eastAsia" w:eastAsia="宋体" w:cs="Times New Roman"/>
                <w:color w:val="000000" w:themeColor="text1"/>
                <w:kern w:val="2"/>
                <w:sz w:val="21"/>
                <w:szCs w:val="18"/>
                <w:lang w:val="en-US" w:eastAsia="zh-CN" w:bidi="ar-SA"/>
              </w:rPr>
              <w:t>设施：116台套。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left"/>
              <w:textAlignment w:val="auto"/>
              <w:rPr>
                <w:rFonts w:hint="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占地面积138164.27m2。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left"/>
              <w:textAlignment w:val="auto"/>
              <w:rPr>
                <w:rFonts w:hint="default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公司的组织机构：领导层（总经办）、工程部、采购部、物流部、IT部、品管部、公用部、聚合部、短丝部、长丝部、研发部、资金管理部，财务管理部。</w:t>
            </w:r>
          </w:p>
          <w:p>
            <w:pPr>
              <w:pStyle w:val="14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公司的基础资源包括：人力资源、基础设施、信息、生产以及生产管理、工作与工作环境、监视与测量资源等（能源计量器具），公司对人员、主要耗能设备设施和工作环境等资源条件规定了相应的要求，以达到满足顾客及相关方要求的目的，基本满足体系标准的要求，可以进行二阶段审核。具体证据在二阶段审核时进行获取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lang w:val="en-US" w:eastAsia="zh-CN" w:bidi="ar-SA"/>
              </w:rPr>
            </w:pPr>
          </w:p>
        </w:tc>
      </w:tr>
    </w:tbl>
    <w:p>
      <w:pPr>
        <w:pStyle w:val="4"/>
        <w:rPr>
          <w:color w:val="000000" w:themeColor="text1"/>
        </w:rPr>
      </w:pPr>
      <w:r>
        <w:rPr>
          <w:rFonts w:hint="eastAsia"/>
          <w:color w:val="000000" w:themeColor="text1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pBdr>
        <w:bottom w:val="none" w:color="auto" w:sz="0" w:space="0"/>
      </w:pBdr>
      <w:tabs>
        <w:tab w:val="left" w:pos="8910"/>
        <w:tab w:val="left" w:pos="9142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after="80" w:line="320" w:lineRule="exact"/>
      <w:ind w:left="-86" w:leftChars="-41" w:firstLine="810" w:firstLineChars="450"/>
      <w:jc w:val="left"/>
      <w:textAlignment w:val="auto"/>
      <w:rPr>
        <w:rStyle w:val="13"/>
        <w:rFonts w:hint="default"/>
      </w:rPr>
    </w:pP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86080"/>
          <wp:effectExtent l="0" t="0" r="0" b="17780"/>
          <wp:wrapTight wrapText="bothSides">
            <wp:wrapPolygon>
              <wp:start x="6019" y="0"/>
              <wp:lineTo x="3611" y="1279"/>
              <wp:lineTo x="0" y="5116"/>
              <wp:lineTo x="0" y="17479"/>
              <wp:lineTo x="6019" y="20463"/>
              <wp:lineTo x="8827" y="21316"/>
              <wp:lineTo x="9630" y="21316"/>
              <wp:lineTo x="14445" y="21316"/>
              <wp:lineTo x="20864" y="14921"/>
              <wp:lineTo x="20864" y="5968"/>
              <wp:lineTo x="16050" y="853"/>
              <wp:lineTo x="14043" y="0"/>
              <wp:lineTo x="601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86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autoSpaceDE/>
      <w:autoSpaceDN/>
      <w:bidi w:val="0"/>
      <w:adjustRightInd/>
      <w:snapToGrid w:val="0"/>
      <w:spacing w:after="80" w:line="320" w:lineRule="exact"/>
      <w:ind w:firstLine="756" w:firstLineChars="400"/>
      <w:jc w:val="left"/>
      <w:textAlignment w:val="auto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2B2638A"/>
    <w:rsid w:val="047D6715"/>
    <w:rsid w:val="04E66B72"/>
    <w:rsid w:val="057B61BC"/>
    <w:rsid w:val="05E03115"/>
    <w:rsid w:val="06687FA8"/>
    <w:rsid w:val="06897C76"/>
    <w:rsid w:val="07A03443"/>
    <w:rsid w:val="0827747F"/>
    <w:rsid w:val="08A5371B"/>
    <w:rsid w:val="08C86C04"/>
    <w:rsid w:val="0A053A56"/>
    <w:rsid w:val="0A0D1352"/>
    <w:rsid w:val="0AC654AA"/>
    <w:rsid w:val="0B665D46"/>
    <w:rsid w:val="0DE678DC"/>
    <w:rsid w:val="0E584A1A"/>
    <w:rsid w:val="0EA35F1E"/>
    <w:rsid w:val="10AB486F"/>
    <w:rsid w:val="1303564D"/>
    <w:rsid w:val="134E54F4"/>
    <w:rsid w:val="140F1ACF"/>
    <w:rsid w:val="15C332CB"/>
    <w:rsid w:val="16A21B85"/>
    <w:rsid w:val="1775282D"/>
    <w:rsid w:val="18B0256F"/>
    <w:rsid w:val="196E5D4C"/>
    <w:rsid w:val="19CE2DD1"/>
    <w:rsid w:val="1A337E59"/>
    <w:rsid w:val="1A9C09F8"/>
    <w:rsid w:val="1ADA1082"/>
    <w:rsid w:val="1AF21ED1"/>
    <w:rsid w:val="1BE301AC"/>
    <w:rsid w:val="1D664946"/>
    <w:rsid w:val="1E8A4437"/>
    <w:rsid w:val="1EAB5E45"/>
    <w:rsid w:val="1EE86097"/>
    <w:rsid w:val="1F3C2C99"/>
    <w:rsid w:val="1FB20D0B"/>
    <w:rsid w:val="2180393B"/>
    <w:rsid w:val="26976C7E"/>
    <w:rsid w:val="26C35D49"/>
    <w:rsid w:val="273E3668"/>
    <w:rsid w:val="27C14505"/>
    <w:rsid w:val="27DB03E9"/>
    <w:rsid w:val="292F4972"/>
    <w:rsid w:val="2B7F4F87"/>
    <w:rsid w:val="2BFA4849"/>
    <w:rsid w:val="2E9318DD"/>
    <w:rsid w:val="2FC608E3"/>
    <w:rsid w:val="30313961"/>
    <w:rsid w:val="312171D0"/>
    <w:rsid w:val="31695936"/>
    <w:rsid w:val="342505BF"/>
    <w:rsid w:val="365933C9"/>
    <w:rsid w:val="36F22E22"/>
    <w:rsid w:val="394A040E"/>
    <w:rsid w:val="39AC6892"/>
    <w:rsid w:val="3A1D497A"/>
    <w:rsid w:val="3B503D6D"/>
    <w:rsid w:val="3C1146FF"/>
    <w:rsid w:val="3E916C3E"/>
    <w:rsid w:val="3F337BEF"/>
    <w:rsid w:val="3F813F85"/>
    <w:rsid w:val="400C159B"/>
    <w:rsid w:val="40A96C74"/>
    <w:rsid w:val="45C77626"/>
    <w:rsid w:val="45D513DA"/>
    <w:rsid w:val="465F2D87"/>
    <w:rsid w:val="46ED00AB"/>
    <w:rsid w:val="4B3737D8"/>
    <w:rsid w:val="4DA06891"/>
    <w:rsid w:val="4FB20772"/>
    <w:rsid w:val="50876B25"/>
    <w:rsid w:val="51F65E6E"/>
    <w:rsid w:val="52861D1B"/>
    <w:rsid w:val="53145C03"/>
    <w:rsid w:val="542E63CF"/>
    <w:rsid w:val="54423C5B"/>
    <w:rsid w:val="55246C39"/>
    <w:rsid w:val="554460D3"/>
    <w:rsid w:val="56213DDB"/>
    <w:rsid w:val="57B124EA"/>
    <w:rsid w:val="57B56FED"/>
    <w:rsid w:val="59CE0A5D"/>
    <w:rsid w:val="5C916C5B"/>
    <w:rsid w:val="5D101279"/>
    <w:rsid w:val="5E687504"/>
    <w:rsid w:val="5F8D511C"/>
    <w:rsid w:val="61604EB1"/>
    <w:rsid w:val="61A11641"/>
    <w:rsid w:val="61B548E1"/>
    <w:rsid w:val="62F56A34"/>
    <w:rsid w:val="63D02D39"/>
    <w:rsid w:val="67A108C5"/>
    <w:rsid w:val="67FA4B26"/>
    <w:rsid w:val="6AB73EA7"/>
    <w:rsid w:val="6B204C45"/>
    <w:rsid w:val="6B63200C"/>
    <w:rsid w:val="6C00088E"/>
    <w:rsid w:val="6C523E8D"/>
    <w:rsid w:val="6D474567"/>
    <w:rsid w:val="6DB61995"/>
    <w:rsid w:val="6E2D5CB4"/>
    <w:rsid w:val="6E9C397D"/>
    <w:rsid w:val="702977A9"/>
    <w:rsid w:val="71C54D93"/>
    <w:rsid w:val="72D90C75"/>
    <w:rsid w:val="73CA65BE"/>
    <w:rsid w:val="74AA4A79"/>
    <w:rsid w:val="76A1390B"/>
    <w:rsid w:val="76A57AE3"/>
    <w:rsid w:val="770F795B"/>
    <w:rsid w:val="786461A2"/>
    <w:rsid w:val="78686C83"/>
    <w:rsid w:val="7A6C3467"/>
    <w:rsid w:val="7B0574D7"/>
    <w:rsid w:val="7B7B272A"/>
    <w:rsid w:val="7B9406EB"/>
    <w:rsid w:val="7E074A3B"/>
    <w:rsid w:val="7E4470A0"/>
    <w:rsid w:val="7E540E26"/>
    <w:rsid w:val="7ED06A30"/>
    <w:rsid w:val="7F2252F7"/>
    <w:rsid w:val="7FF07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华文细黑"/>
      <w:sz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sz w:val="24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2706</Words>
  <Characters>15429</Characters>
  <Lines>128</Lines>
  <Paragraphs>36</Paragraphs>
  <TotalTime>1</TotalTime>
  <ScaleCrop>false</ScaleCrop>
  <LinksUpToDate>false</LinksUpToDate>
  <CharactersWithSpaces>18099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2022-03-13T06:26:21Z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2052-11.1.0.10667</vt:lpwstr>
  </property>
</Properties>
</file>