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重庆能泰科技有限公司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罗德中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质安部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textAlignment w:val="auto"/>
              <w:rPr>
                <w:rFonts w:hint="default" w:ascii="方正仿宋简体" w:hAnsi="Times New Roman" w:eastAsia="方正仿宋简体" w:cs="Times New Roman"/>
                <w:b w:val="0"/>
                <w:bCs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抽在用检具，不能提供水准仪、便携式可燃性气体浓度测量仪、万用表、焊接检验尺、测厚仪、绝缘电阻测试仪的有效校准证书，不符合：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1）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；2）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GB/T 50430-2017标准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11.4.2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eastAsia="zh-CN"/>
              </w:rPr>
              <w:t>条款，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施工企业对检测设备的管理应符合下列规定：应按规定的周期检定或校准检测设备，标识相应状态，确保其在有效期内使用，并保存检定或校准记录；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2015标准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7.1.5.2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GB/T 50430-2017标准 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11.4.2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GB/T 45001-2020 idt ISO45001：2018标准  条款相关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177165</wp:posOffset>
                  </wp:positionV>
                  <wp:extent cx="333375" cy="345440"/>
                  <wp:effectExtent l="11430" t="11430" r="23495" b="11430"/>
                  <wp:wrapNone/>
                  <wp:docPr id="1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33337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6985</wp:posOffset>
                  </wp:positionV>
                  <wp:extent cx="333375" cy="345440"/>
                  <wp:effectExtent l="11430" t="11430" r="23495" b="11430"/>
                  <wp:wrapNone/>
                  <wp:docPr id="2" name="图片 2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240000">
                            <a:off x="0" y="0"/>
                            <a:ext cx="33337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</w:t>
            </w:r>
            <w:r>
              <w:rPr>
                <w:rFonts w:hint="eastAsia" w:ascii="方正仿宋简体" w:eastAsia="方正仿宋简体"/>
                <w:b/>
                <w:sz w:val="24"/>
                <w:lang w:eastAsia="zh-CN"/>
              </w:rPr>
              <w:t>：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2022年01月0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/>
                <w:b/>
                <w:sz w:val="20"/>
              </w:rPr>
              <w:t>2022年01月0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/>
                <w:b/>
                <w:sz w:val="20"/>
              </w:rPr>
              <w:t>2022年01月0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BA562F"/>
    <w:rsid w:val="3F6D757A"/>
    <w:rsid w:val="4604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2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2022-01-06T06:35:45Z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