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过程与活动、</w:t>
            </w:r>
          </w:p>
          <w:p>
            <w:pPr>
              <w:jc w:val="cente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抽样计划</w:t>
            </w:r>
          </w:p>
        </w:tc>
        <w:tc>
          <w:tcPr>
            <w:tcW w:w="960" w:type="dxa"/>
            <w:vMerge w:val="restart"/>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涉及</w:t>
            </w:r>
          </w:p>
          <w:p>
            <w:pP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受审核部门：河北孚领商品混凝土有限公司</w:t>
            </w:r>
            <w:r>
              <w:rPr>
                <w:rFonts w:hint="eastAsia"/>
                <w:color w:val="000000" w:themeColor="text1"/>
                <w:sz w:val="24"/>
                <w:szCs w:val="24"/>
                <w:lang w:val="en-US" w:eastAsia="zh-CN"/>
                <w14:textFill>
                  <w14:solidFill>
                    <w14:schemeClr w14:val="tx1"/>
                  </w14:solidFill>
                </w14:textFill>
              </w:rPr>
              <w:t xml:space="preserve"> 领导层</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主管领导：</w:t>
            </w:r>
            <w:r>
              <w:rPr>
                <w:rFonts w:hint="eastAsia"/>
                <w:color w:val="000000" w:themeColor="text1"/>
                <w:sz w:val="24"/>
                <w:szCs w:val="24"/>
                <w:lang w:val="en-US" w:eastAsia="zh-CN"/>
                <w14:textFill>
                  <w14:solidFill>
                    <w14:schemeClr w14:val="tx1"/>
                  </w14:solidFill>
                </w14:textFill>
              </w:rPr>
              <w:t>张龙</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陪同人员：</w:t>
            </w:r>
            <w:r>
              <w:rPr>
                <w:rFonts w:hint="eastAsia"/>
                <w:color w:val="000000" w:themeColor="text1"/>
                <w:sz w:val="24"/>
                <w:szCs w:val="24"/>
                <w:lang w:val="en-US" w:eastAsia="zh-CN"/>
                <w14:textFill>
                  <w14:solidFill>
                    <w14:schemeClr w14:val="tx1"/>
                  </w14:solidFill>
                </w14:textFill>
              </w:rPr>
              <w:t>何明明</w:t>
            </w:r>
          </w:p>
        </w:tc>
        <w:tc>
          <w:tcPr>
            <w:tcW w:w="1585"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14:textFill>
                  <w14:solidFill>
                    <w14:schemeClr w14:val="tx1"/>
                  </w14:solidFill>
                </w14:textFill>
              </w:rPr>
            </w:pPr>
          </w:p>
        </w:tc>
        <w:tc>
          <w:tcPr>
            <w:tcW w:w="960" w:type="dxa"/>
            <w:vMerge w:val="continue"/>
            <w:vAlign w:val="center"/>
          </w:tcPr>
          <w:p>
            <w:pPr>
              <w:rPr>
                <w:color w:val="000000" w:themeColor="text1"/>
                <w14:textFill>
                  <w14:solidFill>
                    <w14:schemeClr w14:val="tx1"/>
                  </w14:solidFill>
                </w14:textFill>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 xml:space="preserve">审核员：王宁敏 </w:t>
            </w:r>
            <w:r>
              <w:rPr>
                <w:rFonts w:hint="eastAsia" w:ascii="宋体" w:hAnsi="宋体" w:cs="Times New Roman"/>
                <w:b/>
                <w:bCs/>
                <w:color w:val="0000FF"/>
                <w:sz w:val="21"/>
                <w:szCs w:val="21"/>
                <w:lang w:val="en-US" w:eastAsia="zh-CN"/>
              </w:rPr>
              <w:t xml:space="preserve">/孔祥春 李丽英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审核时间：2021年11月11日 14:00-17:30</w:t>
            </w:r>
            <w:r>
              <w:rPr>
                <w:rFonts w:hint="eastAsia" w:ascii="宋体" w:hAnsi="宋体" w:cs="Times New Roman"/>
                <w:b/>
                <w:bCs/>
                <w:color w:val="0000FF"/>
                <w:sz w:val="21"/>
                <w:szCs w:val="21"/>
                <w:lang w:val="en-US" w:eastAsia="zh-CN"/>
              </w:rPr>
              <w:t>/2022.1.3上午</w:t>
            </w:r>
          </w:p>
        </w:tc>
        <w:tc>
          <w:tcPr>
            <w:tcW w:w="1585" w:type="dxa"/>
            <w:vMerge w:val="continue"/>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14:textFill>
                  <w14:solidFill>
                    <w14:schemeClr w14:val="tx1"/>
                  </w14:solidFill>
                </w14:textFill>
              </w:rPr>
            </w:pPr>
          </w:p>
        </w:tc>
        <w:tc>
          <w:tcPr>
            <w:tcW w:w="960" w:type="dxa"/>
            <w:vMerge w:val="continue"/>
            <w:vAlign w:val="center"/>
          </w:tcPr>
          <w:p>
            <w:pPr>
              <w:rPr>
                <w:color w:val="000000" w:themeColor="text1"/>
                <w14:textFill>
                  <w14:solidFill>
                    <w14:schemeClr w14:val="tx1"/>
                  </w14:solidFill>
                </w14:textFill>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color w:val="000000" w:themeColor="text1"/>
                <w:sz w:val="24"/>
                <w:szCs w:val="24"/>
                <w:lang w:eastAsia="zh-CN"/>
                <w14:textFill>
                  <w14:solidFill>
                    <w14:schemeClr w14:val="tx1"/>
                  </w14:solidFill>
                </w14:textFill>
              </w:rPr>
            </w:pPr>
            <w:r>
              <w:rPr>
                <w:rFonts w:hint="eastAsia" w:ascii="Times New Roman" w:hAnsi="Times New Roman" w:eastAsia="宋体" w:cs="Times New Roman"/>
                <w:szCs w:val="22"/>
                <w:lang w:val="en-US" w:eastAsia="zh-CN"/>
              </w:rPr>
              <w:t>审核条款：4.1 组织所处的环境；4.2相关方的需求和期望；4.3/4.4能源管理体系的范围及能源管理体系；5.1 领导作用；5.2 能源方针；5.3 岗位、职责和权限；6.1 风险和机遇的措施；7.1 资源；9.3 管理评审；10.2持续改进，对一阶段问题整改情况的确认。</w:t>
            </w:r>
            <w:r>
              <w:rPr>
                <w:rFonts w:hint="eastAsia" w:ascii="宋体" w:hAnsi="宋体" w:cs="Times New Roman"/>
                <w:b/>
                <w:bCs/>
                <w:color w:val="0000FF"/>
                <w:sz w:val="21"/>
                <w:szCs w:val="21"/>
                <w:lang w:val="en-US" w:eastAsia="zh-CN"/>
              </w:rPr>
              <w:t>对以上信息进行现场确认</w:t>
            </w:r>
          </w:p>
        </w:tc>
        <w:tc>
          <w:tcPr>
            <w:tcW w:w="1585" w:type="dxa"/>
            <w:vMerge w:val="continue"/>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trPr>
        <w:tc>
          <w:tcPr>
            <w:tcW w:w="2160" w:type="dxa"/>
          </w:tcPr>
          <w:p>
            <w:pPr>
              <w:rPr>
                <w:color w:val="000000" w:themeColor="text1"/>
                <w14:textFill>
                  <w14:solidFill>
                    <w14:schemeClr w14:val="tx1"/>
                  </w14:solidFill>
                </w14:textFill>
              </w:rPr>
            </w:pPr>
            <w:r>
              <w:rPr>
                <w:rFonts w:hint="eastAsia" w:ascii="Times New Roman" w:hAnsi="Times New Roman" w:eastAsia="宋体" w:cs="Times New Roman"/>
                <w:szCs w:val="22"/>
                <w:lang w:val="en-US" w:eastAsia="zh-CN"/>
              </w:rPr>
              <w:t>了解公司基本情况。</w:t>
            </w:r>
          </w:p>
        </w:tc>
        <w:tc>
          <w:tcPr>
            <w:tcW w:w="960" w:type="dxa"/>
          </w:tcPr>
          <w:p>
            <w:pPr>
              <w:rPr>
                <w:color w:val="000000" w:themeColor="text1"/>
                <w14:textFill>
                  <w14:solidFill>
                    <w14:schemeClr w14:val="tx1"/>
                  </w14:solidFill>
                </w14:textFill>
              </w:rPr>
            </w:pPr>
          </w:p>
        </w:tc>
        <w:tc>
          <w:tcPr>
            <w:tcW w:w="10004" w:type="dxa"/>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 xml:space="preserve"> 河北孚领商品混凝土有限公司成立于2020年06月16日，注册地位于保定市徐水区遂城镇遂城村，法定代表人为王健。经营范围包括商品混凝土制造。</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河北孚领商品混凝土有限公司</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lang w:val="en-US" w:eastAsia="zh-CN"/>
              </w:rPr>
            </w:pPr>
            <w:r>
              <w:rPr>
                <w:rFonts w:hint="eastAsia"/>
                <w:lang w:val="en-US" w:eastAsia="zh-CN"/>
              </w:rPr>
              <w:t>1、总资产达2546.88万，占地面积20997.9平米。</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2、公司现有员工 80多名，其中5余人拥有大专以上文凭，1人拥有高级职称。经核实涉及能源管理体系覆盖员工约 25人，管理人员 5 人；操作人员20人；劳务派遣人员 0人；临时工0 人；季节工 0 人。</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3、注册地址:保定市徐水区遂城镇遂城村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4、经营地址：保定市徐水区遂城镇遂城村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5、生产服务地址：保定市徐水区遂城镇遂城村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6、经识别排查配置有 2 台主要耗能设备；</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营业执照注册地址：保定市徐水区遂城镇遂城村。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经营地址：保定市徐水区遂城镇遂城村，与生产或服务现场一致。</w:t>
            </w:r>
          </w:p>
          <w:p>
            <w:pPr>
              <w:pStyle w:val="10"/>
              <w:rPr>
                <w:rFonts w:hint="eastAsia"/>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hint="eastAsia" w:eastAsia="宋体"/>
                <w:color w:val="000000" w:themeColor="text1"/>
                <w:lang w:eastAsia="zh-CN"/>
                <w14:textFill>
                  <w14:solidFill>
                    <w14:schemeClr w14:val="tx1"/>
                  </w14:solidFill>
                </w14:textFill>
              </w:rPr>
            </w:pPr>
            <w:r>
              <w:rPr>
                <w:rFonts w:hint="eastAsia" w:ascii="Times New Roman" w:hAnsi="Times New Roman" w:eastAsia="宋体" w:cs="Times New Roman"/>
                <w:szCs w:val="22"/>
                <w:lang w:val="en-US" w:eastAsia="zh-CN"/>
              </w:rPr>
              <w:t>组织所处的环境；相关方的需求和期望。</w:t>
            </w:r>
          </w:p>
        </w:tc>
        <w:tc>
          <w:tcPr>
            <w:tcW w:w="960" w:type="dxa"/>
          </w:tcPr>
          <w:p>
            <w:pPr>
              <w:rPr>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4.1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4.2</w:t>
            </w:r>
          </w:p>
        </w:tc>
        <w:tc>
          <w:tcPr>
            <w:tcW w:w="10004" w:type="dxa"/>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公司领导层结合公司的实际情况，充分识别外部、内部环境，以策划公司的能源管理活动，建立管理体系，改进能源绩效，以达到预期的目的。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公司编制的《公司环境分析控制程序》，确定了与其宗旨有关的外部和内部问题，它们影响到公司实现能源管理预期结果和改进其能源性能的能力。公司领导层在了解和识别内外部因素时，应充分考虑企业活动、产品和服务提供过程中发生相互作用的因素，并基于生命周期的观点实施能源因素的管理。公司领导层应采用适宜的方法，如定期召开经营管理会议，对这些内部和外部因素的中高风险进行监视和评审，确保充分识别、消除，降低或减缓风险，充分利用可能的发展机遇，保证实现企业效益及能源管理体系预期结果。</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 xml:space="preserve">公司定期组织对这些内外部问题的相关信息进行监视和评审，以确保其充分和适宜。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公司还确定了与能源绩效和能源管理体系有关的相关方，识别相关方的有关需求和期望，制订出双方共赢的发展方案。公司应对这些相关方及其要求的相关信息进行监视和评审。公司的相关方有：有员工、股东、质量技术监督局、生态环境局、应急局、发改局、工信局、供应商、客户等。</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公司每年都对相关方客及其要求评审一次，发生变化时，采取措施应对等。</w:t>
            </w:r>
          </w:p>
          <w:p>
            <w:pPr>
              <w:pStyle w:val="10"/>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确定能源管理体系的范围</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4.3</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公司能源管理体系的边界和范围：</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河北孚领商品混凝土有限公司的商品混凝土制造生产所涉及的相关能源管理活动。</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核算边界：位于保定市徐水区遂城镇遂城村的河北孚领商品混凝土有限公司的商品混凝土制造生产所涉及的相关能源管理活动，该活动涵盖了能源购入、转换、输送、使用所涉及的生产系统、辅助生产系统和附属生产系统活动全过程。</w:t>
            </w:r>
          </w:p>
          <w:p>
            <w:pPr>
              <w:pStyle w:val="10"/>
              <w:rPr>
                <w:rFonts w:hint="default"/>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能源管理体系的建立与策划</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4.4</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szCs w:val="22"/>
                <w:lang w:val="en-US" w:eastAsia="zh-CN"/>
              </w:rPr>
              <w:t>公司总经理张龙重视节能降耗工作，任命副总经理高杰为能源体系管理者代表，具体负责能源管理工作。为了系统高效地开展节约能源工作，使公司原有的节能管理更加系统化、规范化、标准化，公司根据GB/T 23331-2020 idt ISO 50001:2018及国家相关法律法规，充分结合本公司能源管理的实际情况，建立能源管理体系，并编写“管理手册”及相应的能源控制文件，通过全面系统的策划、实施、检查和改进，对能源管理的全过程进行系统的科学监控，有效控制能源消耗并最终实现提高能源利用效率、降低能源消耗的目的。能源管理体系自2021年4月1日正式实施运行以来，至今已取得较好的能源绩效 。</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B0F0"/>
                <w:szCs w:val="22"/>
                <w:lang w:val="en-US" w:eastAsia="zh-CN"/>
              </w:rPr>
            </w:pPr>
            <w:r>
              <w:rPr>
                <w:rFonts w:hint="eastAsia" w:ascii="Times New Roman" w:hAnsi="Times New Roman" w:eastAsia="宋体" w:cs="Times New Roman"/>
                <w:color w:val="00B0F0"/>
                <w:szCs w:val="22"/>
                <w:lang w:val="en-US" w:eastAsia="zh-CN"/>
              </w:rPr>
              <w:t>《管理手册》中缺少对 RB/T 121-2016 《能源管理体系 建材企业（不含水泥、玻璃、陶瓷）认证要求》标准的描述</w:t>
            </w:r>
            <w:r>
              <w:rPr>
                <w:rFonts w:hint="eastAsia" w:ascii="Times New Roman" w:hAnsi="Times New Roman" w:eastAsia="宋体" w:cs="Times New Roman"/>
                <w:szCs w:val="22"/>
                <w:lang w:val="en-US" w:eastAsia="zh-CN"/>
              </w:rPr>
              <w:t xml:space="preserve">。     </w:t>
            </w:r>
            <w:r>
              <w:rPr>
                <w:rFonts w:hint="eastAsia" w:ascii="Times New Roman" w:hAnsi="Times New Roman" w:eastAsia="宋体" w:cs="Times New Roman"/>
                <w:color w:val="00B0F0"/>
                <w:szCs w:val="22"/>
                <w:lang w:val="en-US" w:eastAsia="zh-CN"/>
              </w:rPr>
              <w:t xml:space="preserve">问题 </w:t>
            </w:r>
            <w:r>
              <w:rPr>
                <w:rFonts w:hint="eastAsia" w:cs="Times New Roman"/>
                <w:color w:val="00B0F0"/>
                <w:szCs w:val="22"/>
                <w:lang w:val="en-US" w:eastAsia="zh-CN"/>
              </w:rPr>
              <w:t>，</w:t>
            </w:r>
            <w:r>
              <w:rPr>
                <w:rFonts w:hint="eastAsia" w:ascii="宋体" w:hAnsi="宋体" w:eastAsia="宋体" w:cs="Times New Roman"/>
                <w:b/>
                <w:bCs/>
                <w:color w:val="0000FF"/>
                <w:spacing w:val="0"/>
                <w:kern w:val="2"/>
                <w:sz w:val="21"/>
                <w:szCs w:val="21"/>
                <w:u w:val="single"/>
                <w:lang w:val="en-US" w:eastAsia="zh-CN" w:bidi="ar-SA"/>
              </w:rPr>
              <w:t>现场确认问题已整改</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领导作用和承诺</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5.1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公司总经理（最高管理者）在《管理手册》中承诺支持能源管理体系，并持续改进能源管理体系的有效性。</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公司最高管理者应证实其对质量、环境及职业健康安全和能源管理体系的领导作用和承诺,通过：</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a.建立公司管理方针，并确保方针与组织的战略方向保持一致以及方针在公司内得到理解和实施;</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b.在相关职能、层次、过程上建立公司管理目标，定期对目标的完成情况进行分析、总结以及改进，确保将管理体系要求纳入组织的业务运作以及实现管理体系预期的输出。</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c.建立公司培训系统，定期制定培训计划，提高全体员工的过程方法的意识，传达有效的体系管理以及满足管理体系、产品要求的重要性。</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d.建立合理的公司组织结构,确保管理体系所需资源能被获得;</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e.建立有效的沟通渠道,吸纳、指导和支持员工参与对公司管理体系的有效性作出贡献，增强体系持续改进和创新；</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f.管理岗位的任命，公司内部公开发布任命书，以支持其他管理者在其负责领域证实其领导作用。</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能源方针、目标指标</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5.2/6.2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公司能源管理方针（质量、环境、职业健康安全整合在一起）：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公司坚持“顾客至上、优质高效、 全员参与、持续改进、预防污染、绿色排放、节约能源、安全第一”的方针，进一步完善品质保障体系，为一线客户做好坚实保障的坚强后盾。</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能源方针内容基本符合标准要求和企业实际。管理方针由总经理批准发布，以书面、电子媒介、宣传栏等方式，便于员工、顾客及其他相关方所获取，并且予以评审。</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szCs w:val="22"/>
                <w:lang w:val="en-US" w:eastAsia="zh-CN"/>
              </w:rPr>
              <w:t>公司的能源管理目标：</w:t>
            </w:r>
            <w:r>
              <w:rPr>
                <w:rFonts w:hint="eastAsia" w:ascii="Times New Roman" w:hAnsi="Times New Roman" w:eastAsia="宋体" w:cs="Times New Roman"/>
                <w:bCs w:val="0"/>
                <w:spacing w:val="0"/>
                <w:kern w:val="2"/>
                <w:sz w:val="21"/>
                <w:szCs w:val="22"/>
                <w:highlight w:val="none"/>
                <w:lang w:val="en-US" w:eastAsia="zh-CN" w:bidi="ar-SA"/>
              </w:rPr>
              <w:t>单位产品生产能耗≤0.7kgce/m3；由于产品运输外包未制定能耗目标</w:t>
            </w:r>
            <w:r>
              <w:rPr>
                <w:rFonts w:hint="eastAsia" w:ascii="Times New Roman" w:hAnsi="Times New Roman" w:eastAsia="宋体" w:cs="Times New Roman"/>
                <w:bCs w:val="0"/>
                <w:spacing w:val="0"/>
                <w:kern w:val="2"/>
                <w:sz w:val="21"/>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组织的岗位、职责和权限</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5.3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各岗位的职责和权限描述参见相应的《岗位职责与任职要求》。副经理级及副经理以上级别的职位的《岗位职责与任职要求》由综合部统一编制、体系负责人审核、总经理批准；副经理级以下职位的《岗位职责与任职要求》由各部门依照模板编制、综合部经理审核、总经理批准。综合部负责受控以及备案已被审批的《岗位职责与任职要求》，综合部以及岗位归属部门各保留一份。《岗位职责与任职要求》可以包含该职务的基本信息、工作概述、具体工作职责、工作协调关系、衡量标准、管理权限、任职资格、工作条件等内容信息。具体包含信息，编制部门依据岗位需要进行控制。</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公司设有综合部——采购组、生产部——质检组、财务部、营销部等，从管理层到各部门、各岗位能源职责权限均以文件化予以规定（在《管理手册》5.3条款中予以规定），编审批齐全。</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应对风险和机遇的措施</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6.1</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公司管理层有一定的风险意识，将风险和机遇作为高层战略决策的重要内容。</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 本公司制定《风险管理控制程序</w:t>
            </w:r>
            <w:r>
              <w:rPr>
                <w:rFonts w:hint="eastAsia" w:ascii="Times New Roman" w:hAnsi="Times New Roman" w:eastAsia="宋体" w:cs="Times New Roman"/>
                <w:szCs w:val="22"/>
                <w:lang w:val="en-US" w:eastAsia="zh-CN"/>
              </w:rPr>
              <w:tab/>
            </w:r>
            <w:r>
              <w:rPr>
                <w:rFonts w:hint="eastAsia" w:ascii="Times New Roman" w:hAnsi="Times New Roman" w:eastAsia="宋体" w:cs="Times New Roman"/>
                <w:szCs w:val="22"/>
                <w:lang w:val="en-US" w:eastAsia="zh-CN"/>
              </w:rPr>
              <w:t>FL-CX-023-2020》，明确风险和机遇事件的识别方法/途径、风险和机遇事件的评估方式、制定主要风险和机遇事件的应对措施的要求、评价这些措施有效性的方法。</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2、各部门根据本部门的活动、产品和服务过程，分析其风险和机遇，进行风险和机遇调查。</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3、综合部按类别对各部门上报的风险和机遇进行整理后，报体系负责人审核。</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 综合部组织各部门相关人员，考虑下述方面，对风险和机遇的事件进行评估，确定公司的主要风险和机遇的事件：</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a)违反法律、法规或其它要求的；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b)相关方的合理投诉或高度关注的；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c)影响的范围涉及以其它城市和对人身健康有明显影响的；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d)资源、能源较大消耗；</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e)产生重大影响的判定为主要风险和机遇。</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5、对主要风险和机遇采用目标、指标、风险和机遇管理方案或相应程序文件进行控制。</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6、当发生以下情况时，须对主要风险和机遇重新识别并评价。</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a)活动、产品和服务的变化；</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b)新、改、扩建及新材料、新工艺、新设备的投入；</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c)法律、法规及其它要求的变化；</w:t>
            </w:r>
            <w:r>
              <w:rPr>
                <w:rFonts w:hint="eastAsia" w:cs="Times New Roman"/>
                <w:szCs w:val="22"/>
                <w:lang w:val="en-US" w:eastAsia="zh-CN"/>
              </w:rPr>
              <w:t>y</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d)相关方提出的合理要求。</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资源</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7.1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1、总资产达2546.88万，占地面积20997.9平米。</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2、公司现有员工 80多名，其中5余人拥有大专以上文凭，1人拥有高级职称。经核实涉及能源管理体系覆盖员工约</w:t>
            </w:r>
            <w:r>
              <w:rPr>
                <w:rFonts w:hint="eastAsia" w:ascii="Times New Roman" w:hAnsi="Times New Roman" w:eastAsia="宋体" w:cs="Times New Roman"/>
                <w:szCs w:val="22"/>
                <w:highlight w:val="none"/>
                <w:lang w:val="en-US" w:eastAsia="zh-CN"/>
              </w:rPr>
              <w:t xml:space="preserve"> 25人，管理人员 5 人；操作人员</w:t>
            </w:r>
            <w:r>
              <w:rPr>
                <w:rFonts w:hint="eastAsia" w:cs="Times New Roman"/>
                <w:szCs w:val="22"/>
                <w:highlight w:val="none"/>
                <w:lang w:val="en-US" w:eastAsia="zh-CN"/>
              </w:rPr>
              <w:t>20</w:t>
            </w:r>
            <w:r>
              <w:rPr>
                <w:rFonts w:hint="eastAsia" w:ascii="Times New Roman" w:hAnsi="Times New Roman" w:eastAsia="宋体" w:cs="Times New Roman"/>
                <w:szCs w:val="22"/>
                <w:highlight w:val="none"/>
                <w:lang w:val="en-US" w:eastAsia="zh-CN"/>
              </w:rPr>
              <w:t>人</w:t>
            </w:r>
            <w:r>
              <w:rPr>
                <w:rFonts w:hint="eastAsia" w:ascii="Times New Roman" w:hAnsi="Times New Roman" w:eastAsia="宋体" w:cs="Times New Roman"/>
                <w:szCs w:val="22"/>
                <w:lang w:val="en-US" w:eastAsia="zh-CN"/>
              </w:rPr>
              <w:t>；劳务派遣人员 0人；临时工0 人；季节工 0 人。</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3、注册地址:保定市徐水区遂城镇遂城村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4、经营地址：保定市徐水区遂城镇遂城村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5、生产服务地址：保定市徐水区遂城镇遂城村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6、经识别排查配置有无主要耗能设备</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7、能源计量只有二台：电表和水表。</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资源配置能够满足建立、实施、保持和持续改进能源绩效和能源管理体系的有效运行。</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管理评审</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9.3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提供经编审批持续文件《管理评审控制程序FL-CX-003-2020》</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1、公司自能源管理体系运行以来组织了一次管理评审，日期： 2021年10月20日。</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采用会议形式，总经理李素君主持会议。</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2、提供：管理评审档案，含  1.管理评审计划、2.管理评审报告、3.签到表、各部门管理评审输入资料，编审批齐全。</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出示“管理评审会议签到表”总经理、中层以上负责人参加并签到；</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drawing>
                <wp:inline distT="0" distB="0" distL="114300" distR="114300">
                  <wp:extent cx="2626360" cy="2876550"/>
                  <wp:effectExtent l="0" t="0" r="2540" b="6350"/>
                  <wp:docPr id="2" name="图片 2" descr="132e69806d06ede1d6c53d155cb8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2e69806d06ede1d6c53d155cb84d0"/>
                          <pic:cNvPicPr>
                            <a:picLocks noChangeAspect="1"/>
                          </pic:cNvPicPr>
                        </pic:nvPicPr>
                        <pic:blipFill>
                          <a:blip r:embed="rId6"/>
                          <a:stretch>
                            <a:fillRect/>
                          </a:stretch>
                        </pic:blipFill>
                        <pic:spPr>
                          <a:xfrm>
                            <a:off x="0" y="0"/>
                            <a:ext cx="2626360" cy="2876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出示“管理评审会议记录”，查评审输入内容包括：</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3、评审目的：管理评审是为了保证公司的能源管理体系有效性、充分性和适宜性，确保能源管理体系持续有效的按GB/T23331-2020标准的要求运行。</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评审组织：主持：总经理，出席：管理者代表、各部门负责人。</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评审内容：</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1）内部能源体系审核的结论及其改进措施的效果；</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2）与能源管理体系相关的内外部因素的变化；</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3）过程的绩效；</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4）法律法规的遵循情况；</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5）方针、目标、指标和管理方案的执行情况以及是否需要更改进行评估；</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6）能源管理体系的建立和实施情况；</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7）相关方的反馈信息；</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8）外部供方的绩效；</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9）对内部审核结果、不合格及采取纠正和预防措施的有关信息；</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10）组织机构、管理职能是否合适和协调；</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11）资源配置是否适当；</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12）可能影响能源体系的策划和变更；</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13）应对风险和机遇所采取措施的有效性，风险和机遇的变化；</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14）组织的能源绩效及改进的建议。。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4、管理评审输出，形成《管理评审报告》编审批齐全 。内容包括：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管理评审结论：</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1）审核的结果情况：</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a）是否对不合格采取了有效措施：■是；   □无；  □正在实施</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b）是否认为需要对整个体系重新调整实施：■不需；  □需要</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c）管理体系运行符合标准的程度：□符合；  ■基本符合 ； □不合格（见b）</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2）组织实现目标和指标的能力和方案适宜性</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a）实现的能力： ■能实现 ； □需改目标：</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b）方案：■好，适宜；   □一般 ；  □需改进</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3）方针适宜性： ■适宜 ；   □需更改：</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4）各项要求的程序可行性：■良好；   □一般；   □无效：</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5）销售的产品质量和客户反馈：□良好，  稳定 ； □一般/稳定  ； □需要进一步改进：</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6）相关方投诉：□无 ； □有：无严重投诉，一般问题性投诉 ，符合要求特性。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7）环保、劳动部门及地方政府对公司的是否处罚：■无；  □有：</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8）目前环境/安全：  a）有无重大环境/安全事故： □无  □有：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b）污染物排放：  □符合要求 ； □部分符合，正在改善 ； □部分符合，不合格有扩大趋势</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c)员工是否有人患职业病：□无 ； □有：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d)员工的工作条件：□安全、低危险 ； □较安全 存在一定危险 ； □条件差，危险性大</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9）各部门及过程的能源业绩：■良好 ； □能够达到要求 ； □需进一步改进</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10）现行体系的适宜性：■适宜：暂不需改；  □需改进</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11）可能影响到体系的变更的内容：■暂没有 ； □有：</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12）与法律法规的符合性：□符合   ■基本符合  □有违法的地方：</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13）应对风险和机遇的措施有效性：■有效 ； □无效</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综合结论：本公司能源管理体系是适宜的、充分的和有效的。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5、纠正措施和预防措施的实施情况</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通过上述评审表明，本公司建立的能源管理体系自我完善机制健全；能源管理体系运行良好；建立的能源方针是适宜的；公司部分管理人员对标准不是很熟悉，建议适当时集中组织培训学习。</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szCs w:val="22"/>
                <w:lang w:val="en-US" w:eastAsia="zh-CN"/>
              </w:rPr>
              <w:t>持续改进</w:t>
            </w:r>
          </w:p>
        </w:tc>
        <w:tc>
          <w:tcPr>
            <w:tcW w:w="960" w:type="dxa"/>
          </w:tcPr>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10.2</w:t>
            </w:r>
          </w:p>
        </w:tc>
        <w:tc>
          <w:tcPr>
            <w:tcW w:w="10004" w:type="dxa"/>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提供管理评审改进措施的落实。</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培训学习GB/T23331-2020标准管理体系文件的学习培训管理体系文件，使员工加深对标准和能源管理体系文件的理解，在全企业提高质量意识。由综合部落实。</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    生产部提出体系持续改进的建议：</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1、希望公司对部门员工加大能源管理工作的重视和参与程度。加强培训和学习，让员工深入了解控制程序要求，明白按要求工作的好处。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2.管理体系与日常工作的融合需要进一步加强，管理体系的要求就是公司对日常工作的规范要求，而不是额外的负担。健全部门相关制度，加强公司员工的工作规范。</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3、加强记录管理，有关能源方面的记录可组成公司的经验数据，必须高度重视。</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color w:val="000000" w:themeColor="text1"/>
                <w:lang w:val="en-US" w:eastAsia="zh-CN"/>
                <w14:textFill>
                  <w14:solidFill>
                    <w14:schemeClr w14:val="tx1"/>
                  </w14:solidFill>
                </w14:textFill>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企业资质现场确认</w:t>
            </w:r>
          </w:p>
        </w:tc>
        <w:tc>
          <w:tcPr>
            <w:tcW w:w="960" w:type="dxa"/>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tc>
        <w:tc>
          <w:tcPr>
            <w:tcW w:w="10004" w:type="dxa"/>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营业执照：住所:</w:t>
            </w:r>
            <w:bookmarkStart w:id="0" w:name="注册地址"/>
            <w:r>
              <w:rPr>
                <w:rFonts w:hint="eastAsia" w:ascii="宋体" w:hAnsi="宋体" w:eastAsia="宋体" w:cs="Times New Roman"/>
                <w:b/>
                <w:bCs/>
                <w:color w:val="0000FF"/>
                <w:spacing w:val="0"/>
                <w:kern w:val="2"/>
                <w:sz w:val="21"/>
                <w:szCs w:val="21"/>
                <w:u w:val="single"/>
                <w:lang w:val="en-US" w:eastAsia="zh-CN" w:bidi="ar-SA"/>
              </w:rPr>
              <w:t>保定市徐水区遂城镇遂城村</w:t>
            </w:r>
            <w:bookmarkEnd w:id="0"/>
            <w:r>
              <w:rPr>
                <w:rFonts w:hint="eastAsia" w:ascii="宋体" w:hAnsi="宋体" w:eastAsia="宋体" w:cs="Times New Roman"/>
                <w:b/>
                <w:bCs/>
                <w:color w:val="0000FF"/>
                <w:spacing w:val="0"/>
                <w:kern w:val="2"/>
                <w:sz w:val="21"/>
                <w:szCs w:val="21"/>
                <w:u w:val="single"/>
                <w:lang w:val="en-US" w:eastAsia="zh-CN" w:bidi="ar-SA"/>
              </w:rPr>
              <w:t>；</w:t>
            </w:r>
            <w:r>
              <w:rPr>
                <w:rFonts w:hint="default" w:ascii="宋体" w:hAnsi="宋体" w:eastAsia="宋体" w:cs="Times New Roman"/>
                <w:b/>
                <w:bCs/>
                <w:color w:val="0000FF"/>
                <w:spacing w:val="0"/>
                <w:kern w:val="2"/>
                <w:sz w:val="21"/>
                <w:szCs w:val="21"/>
                <w:u w:val="single"/>
                <w:lang w:val="en-US" w:eastAsia="zh-CN" w:bidi="ar-SA"/>
              </w:rPr>
              <w:t>统一社会信用代码：</w:t>
            </w:r>
            <w:r>
              <w:rPr>
                <w:rFonts w:hint="eastAsia" w:ascii="宋体" w:hAnsi="宋体" w:eastAsia="宋体" w:cs="Times New Roman"/>
                <w:b/>
                <w:bCs/>
                <w:color w:val="0000FF"/>
                <w:spacing w:val="0"/>
                <w:kern w:val="2"/>
                <w:sz w:val="21"/>
                <w:szCs w:val="21"/>
                <w:u w:val="single"/>
                <w:lang w:val="en-US" w:eastAsia="zh-CN" w:bidi="ar-SA"/>
              </w:rPr>
              <w:t>91130609MAOF3EUM58</w:t>
            </w:r>
            <w:r>
              <w:rPr>
                <w:rFonts w:hint="default" w:ascii="宋体" w:hAnsi="宋体" w:eastAsia="宋体" w:cs="Times New Roman"/>
                <w:b/>
                <w:bCs/>
                <w:color w:val="0000FF"/>
                <w:spacing w:val="0"/>
                <w:kern w:val="2"/>
                <w:sz w:val="21"/>
                <w:szCs w:val="21"/>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宋体" w:hAnsi="宋体" w:eastAsia="宋体" w:cs="Times New Roman"/>
                <w:b/>
                <w:bCs/>
                <w:color w:val="0000FF"/>
                <w:spacing w:val="0"/>
                <w:kern w:val="2"/>
                <w:sz w:val="21"/>
                <w:szCs w:val="21"/>
                <w:u w:val="single"/>
                <w:lang w:val="en-US" w:eastAsia="zh-CN" w:bidi="ar-SA"/>
              </w:rPr>
            </w:pPr>
            <w:r>
              <w:rPr>
                <w:rFonts w:hint="default" w:ascii="宋体" w:hAnsi="宋体" w:eastAsia="宋体" w:cs="Times New Roman"/>
                <w:b/>
                <w:bCs/>
                <w:color w:val="0000FF"/>
                <w:spacing w:val="0"/>
                <w:kern w:val="2"/>
                <w:sz w:val="21"/>
                <w:szCs w:val="21"/>
                <w:u w:val="single"/>
                <w:lang w:val="en-US" w:eastAsia="zh-CN" w:bidi="ar-SA"/>
              </w:rPr>
              <w:t>有效期限：自2020年0</w:t>
            </w:r>
            <w:r>
              <w:rPr>
                <w:rFonts w:hint="eastAsia" w:ascii="宋体" w:hAnsi="宋体" w:eastAsia="宋体" w:cs="Times New Roman"/>
                <w:b/>
                <w:bCs/>
                <w:color w:val="0000FF"/>
                <w:spacing w:val="0"/>
                <w:kern w:val="2"/>
                <w:sz w:val="21"/>
                <w:szCs w:val="21"/>
                <w:u w:val="single"/>
                <w:lang w:val="en-US" w:eastAsia="zh-CN" w:bidi="ar-SA"/>
              </w:rPr>
              <w:t>6</w:t>
            </w:r>
            <w:r>
              <w:rPr>
                <w:rFonts w:hint="default" w:ascii="宋体" w:hAnsi="宋体" w:eastAsia="宋体" w:cs="Times New Roman"/>
                <w:b/>
                <w:bCs/>
                <w:color w:val="0000FF"/>
                <w:spacing w:val="0"/>
                <w:kern w:val="2"/>
                <w:sz w:val="21"/>
                <w:szCs w:val="21"/>
                <w:u w:val="single"/>
                <w:lang w:val="en-US" w:eastAsia="zh-CN" w:bidi="ar-SA"/>
              </w:rPr>
              <w:t>月1</w:t>
            </w:r>
            <w:r>
              <w:rPr>
                <w:rFonts w:hint="eastAsia" w:ascii="宋体" w:hAnsi="宋体" w:eastAsia="宋体" w:cs="Times New Roman"/>
                <w:b/>
                <w:bCs/>
                <w:color w:val="0000FF"/>
                <w:spacing w:val="0"/>
                <w:kern w:val="2"/>
                <w:sz w:val="21"/>
                <w:szCs w:val="21"/>
                <w:u w:val="single"/>
                <w:lang w:val="en-US" w:eastAsia="zh-CN" w:bidi="ar-SA"/>
              </w:rPr>
              <w:t>6</w:t>
            </w:r>
            <w:r>
              <w:rPr>
                <w:rFonts w:hint="default" w:ascii="宋体" w:hAnsi="宋体" w:eastAsia="宋体" w:cs="Times New Roman"/>
                <w:b/>
                <w:bCs/>
                <w:color w:val="0000FF"/>
                <w:spacing w:val="0"/>
                <w:kern w:val="2"/>
                <w:sz w:val="21"/>
                <w:szCs w:val="21"/>
                <w:u w:val="single"/>
                <w:lang w:val="en-US" w:eastAsia="zh-CN" w:bidi="ar-SA"/>
              </w:rPr>
              <w:t>日至</w:t>
            </w:r>
            <w:r>
              <w:rPr>
                <w:rFonts w:hint="eastAsia" w:ascii="宋体" w:hAnsi="宋体" w:eastAsia="宋体" w:cs="Times New Roman"/>
                <w:b/>
                <w:bCs/>
                <w:color w:val="0000FF"/>
                <w:spacing w:val="0"/>
                <w:kern w:val="2"/>
                <w:sz w:val="21"/>
                <w:szCs w:val="21"/>
                <w:u w:val="single"/>
                <w:lang w:val="en-US" w:eastAsia="zh-CN" w:bidi="ar-SA"/>
              </w:rPr>
              <w:t>~~</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经营范围：商品混凝土制造，砼结构构件制造，土石方运输工程施工活动，园林绿化工程施工，市政道路工程建筑，普通货物道路运输， 建材（危险化学品除外） 。五金产品、厨具卫具及日用杂品（危险化学品及易制毒化学品除外）批发零售（依法须经批准的项目，经相关部门批准后方可开展经营活动）***</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查：建筑业企业资质证书扫描件；编号：D313204135；  发证时间2021年4月1日有效期至2026年02月</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 xml:space="preserve">28日；经营范围：  预拌混凝土专业承包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Times New Roman"/>
                <w:b/>
                <w:bCs/>
                <w:color w:val="0000FF"/>
                <w:spacing w:val="0"/>
                <w:kern w:val="2"/>
                <w:sz w:val="21"/>
                <w:szCs w:val="21"/>
                <w:u w:val="single"/>
                <w:lang w:val="en-US" w:eastAsia="zh-CN" w:bidi="ar-SA"/>
              </w:rPr>
            </w:pP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Times New Roman"/>
                <w:b/>
                <w:bCs/>
                <w:color w:val="0000FF"/>
                <w:spacing w:val="0"/>
                <w:kern w:val="2"/>
                <w:sz w:val="21"/>
                <w:szCs w:val="21"/>
                <w:u w:val="single"/>
                <w:lang w:val="en-US" w:eastAsia="zh-CN" w:bidi="ar-SA"/>
              </w:rPr>
            </w:pP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Times New Roman"/>
                <w:b/>
                <w:bCs/>
                <w:color w:val="0000FF"/>
                <w:spacing w:val="0"/>
                <w:kern w:val="2"/>
                <w:sz w:val="21"/>
                <w:szCs w:val="21"/>
                <w:u w:val="single"/>
                <w:lang w:val="en-US" w:eastAsia="zh-CN" w:bidi="ar-SA"/>
              </w:rPr>
            </w:pPr>
          </w:p>
        </w:tc>
        <w:tc>
          <w:tcPr>
            <w:tcW w:w="1585" w:type="dxa"/>
          </w:tcPr>
          <w:p>
            <w:pPr>
              <w:rPr>
                <w:rFonts w:hint="eastAsia"/>
                <w:color w:val="000000" w:themeColor="text1"/>
                <w:lang w:val="en-US" w:eastAsia="zh-CN"/>
                <w14:textFill>
                  <w14:solidFill>
                    <w14:schemeClr w14:val="tx1"/>
                  </w14:solidFill>
                </w14:textFill>
              </w:rPr>
            </w:pPr>
          </w:p>
        </w:tc>
      </w:tr>
    </w:tbl>
    <w:p>
      <w:pPr>
        <w:pStyle w:val="6"/>
        <w:rPr>
          <w:rFonts w:hint="eastAsia" w:ascii="隶书" w:hAnsi="宋体" w:eastAsia="隶书"/>
          <w:bCs/>
          <w:color w:val="000000"/>
          <w:sz w:val="36"/>
          <w:szCs w:val="36"/>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w:t>
            </w:r>
            <w:bookmarkStart w:id="1" w:name="组织名称"/>
            <w:r>
              <w:rPr>
                <w:rFonts w:hint="eastAsia"/>
                <w:sz w:val="24"/>
                <w:szCs w:val="24"/>
              </w:rPr>
              <w:t>河北孚领商品混凝土有限公司</w:t>
            </w:r>
            <w:bookmarkEnd w:id="1"/>
            <w:r>
              <w:rPr>
                <w:rFonts w:hint="eastAsia"/>
                <w:sz w:val="24"/>
                <w:szCs w:val="24"/>
                <w:lang w:val="en-US" w:eastAsia="zh-CN"/>
              </w:rPr>
              <w:t>综合部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陈猛</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姜明阳</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bookmarkStart w:id="2" w:name="审核组成员不含组长"/>
            <w:r>
              <w:rPr>
                <w:rFonts w:hint="eastAsia"/>
                <w:sz w:val="24"/>
                <w:szCs w:val="24"/>
              </w:rPr>
              <w:t>孔祥春</w:t>
            </w:r>
            <w:bookmarkEnd w:id="2"/>
            <w:r>
              <w:rPr>
                <w:rFonts w:hint="eastAsia"/>
                <w:sz w:val="24"/>
                <w:szCs w:val="24"/>
              </w:rPr>
              <w:t xml:space="preserve"> </w:t>
            </w:r>
            <w:r>
              <w:rPr>
                <w:rFonts w:hint="eastAsia"/>
                <w:sz w:val="24"/>
                <w:szCs w:val="24"/>
                <w:lang w:val="en-US" w:eastAsia="zh-CN"/>
              </w:rPr>
              <w:t>李丽英</w:t>
            </w:r>
            <w:r>
              <w:rPr>
                <w:rFonts w:hint="eastAsia" w:ascii="宋体" w:hAnsi="宋体" w:eastAsia="宋体" w:cs="Times New Roman"/>
                <w:b/>
                <w:bCs/>
                <w:color w:val="0000FF"/>
                <w:spacing w:val="0"/>
                <w:kern w:val="2"/>
                <w:sz w:val="21"/>
                <w:szCs w:val="21"/>
                <w:u w:val="single"/>
                <w:lang w:val="en-US" w:eastAsia="zh-CN" w:bidi="ar-SA"/>
              </w:rPr>
              <w:t xml:space="preserve">/孔祥春 李丽英 </w:t>
            </w:r>
            <w:r>
              <w:rPr>
                <w:rFonts w:hint="eastAsia"/>
                <w:sz w:val="24"/>
                <w:szCs w:val="24"/>
                <w:lang w:val="en-US" w:eastAsia="zh-CN"/>
              </w:rPr>
              <w:t xml:space="preserve">  </w:t>
            </w:r>
            <w:r>
              <w:rPr>
                <w:sz w:val="24"/>
                <w:szCs w:val="24"/>
              </w:rPr>
              <w:t xml:space="preserve"> </w:t>
            </w:r>
            <w:r>
              <w:rPr>
                <w:rFonts w:hint="eastAsia"/>
                <w:sz w:val="24"/>
                <w:szCs w:val="24"/>
              </w:rPr>
              <w:t>审核时间：</w:t>
            </w:r>
            <w:bookmarkStart w:id="3" w:name="审核日期"/>
            <w:r>
              <w:t>2021年11月11日 下午</w:t>
            </w:r>
            <w:bookmarkEnd w:id="3"/>
            <w:r>
              <w:rPr>
                <w:rFonts w:hint="eastAsia" w:ascii="宋体" w:hAnsi="宋体" w:eastAsia="宋体" w:cs="Times New Roman"/>
                <w:b/>
                <w:bCs/>
                <w:color w:val="0000FF"/>
                <w:spacing w:val="0"/>
                <w:kern w:val="2"/>
                <w:sz w:val="21"/>
                <w:szCs w:val="21"/>
                <w:u w:val="single"/>
                <w:lang w:val="en-US" w:eastAsia="zh-CN" w:bidi="ar-SA"/>
              </w:rPr>
              <w:t>/2022.1.3上午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eastAsia" w:eastAsia="宋体"/>
                <w:sz w:val="24"/>
                <w:szCs w:val="24"/>
                <w:lang w:val="en-US" w:eastAsia="zh-CN"/>
              </w:rPr>
            </w:pPr>
            <w:r>
              <w:rPr>
                <w:rFonts w:hint="eastAsia"/>
                <w:sz w:val="24"/>
                <w:szCs w:val="24"/>
              </w:rPr>
              <w:t>审核条款：</w:t>
            </w:r>
            <w:r>
              <w:rPr>
                <w:rFonts w:hint="eastAsia" w:ascii="宋体" w:hAnsi="宋体" w:eastAsia="宋体" w:cs="Times New Roman"/>
                <w:b/>
                <w:bCs/>
                <w:sz w:val="21"/>
                <w:szCs w:val="21"/>
                <w:lang w:val="en-US" w:eastAsia="zh-CN"/>
              </w:rPr>
              <w:t>EnMS：</w:t>
            </w:r>
            <w:r>
              <w:rPr>
                <w:rFonts w:hint="eastAsia" w:ascii="宋体" w:hAnsi="宋体" w:eastAsia="宋体" w:cs="Times New Roman"/>
                <w:b/>
                <w:bCs/>
                <w:sz w:val="21"/>
                <w:szCs w:val="21"/>
              </w:rPr>
              <w:t>5.3</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6.2</w:t>
            </w:r>
            <w:r>
              <w:rPr>
                <w:rFonts w:hint="eastAsia" w:ascii="宋体" w:hAnsi="宋体" w:eastAsia="宋体" w:cs="Times New Roman"/>
                <w:b/>
                <w:bCs/>
                <w:sz w:val="21"/>
                <w:szCs w:val="21"/>
                <w:lang w:val="en-US" w:eastAsia="zh-CN"/>
              </w:rPr>
              <w:t>/7.2/7.3/7.4/</w:t>
            </w:r>
            <w:r>
              <w:rPr>
                <w:rFonts w:hint="eastAsia" w:ascii="宋体" w:hAnsi="宋体" w:eastAsia="宋体" w:cs="Times New Roman"/>
                <w:b/>
                <w:bCs/>
                <w:sz w:val="21"/>
                <w:szCs w:val="21"/>
              </w:rPr>
              <w:t>7.5</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8.1</w:t>
            </w:r>
            <w:r>
              <w:rPr>
                <w:rFonts w:hint="eastAsia" w:ascii="宋体" w:hAnsi="宋体" w:eastAsia="宋体" w:cs="Times New Roman"/>
                <w:b/>
                <w:bCs/>
                <w:sz w:val="21"/>
                <w:szCs w:val="21"/>
                <w:lang w:val="en-US" w:eastAsia="zh-CN"/>
              </w:rPr>
              <w:t>/</w:t>
            </w:r>
            <w:r>
              <w:rPr>
                <w:rFonts w:hint="eastAsia" w:ascii="宋体" w:hAnsi="宋体" w:cs="Times New Roman"/>
                <w:b/>
                <w:bCs/>
                <w:sz w:val="21"/>
                <w:szCs w:val="21"/>
                <w:lang w:val="en-US" w:eastAsia="zh-CN"/>
              </w:rPr>
              <w:t>8.3/</w:t>
            </w:r>
            <w:r>
              <w:rPr>
                <w:rFonts w:hint="eastAsia" w:ascii="宋体" w:hAnsi="宋体" w:eastAsia="宋体" w:cs="Times New Roman"/>
                <w:b/>
                <w:bCs/>
                <w:sz w:val="21"/>
                <w:szCs w:val="21"/>
              </w:rPr>
              <w:t>9.1.1</w:t>
            </w:r>
            <w:r>
              <w:rPr>
                <w:rFonts w:hint="eastAsia" w:ascii="宋体" w:hAnsi="宋体" w:eastAsia="宋体" w:cs="Times New Roman"/>
                <w:b/>
                <w:bCs/>
                <w:sz w:val="21"/>
                <w:szCs w:val="21"/>
                <w:lang w:val="en-US" w:eastAsia="zh-CN"/>
              </w:rPr>
              <w:t>/</w:t>
            </w:r>
            <w:r>
              <w:rPr>
                <w:rFonts w:hint="eastAsia" w:ascii="宋体" w:hAnsi="宋体" w:cs="Times New Roman"/>
                <w:b/>
                <w:bCs/>
                <w:sz w:val="21"/>
                <w:szCs w:val="21"/>
                <w:lang w:val="en-US" w:eastAsia="zh-CN"/>
              </w:rPr>
              <w:t>9.1.2/</w:t>
            </w:r>
            <w:r>
              <w:rPr>
                <w:rFonts w:hint="eastAsia" w:ascii="宋体" w:hAnsi="宋体" w:eastAsia="宋体" w:cs="Times New Roman"/>
                <w:b/>
                <w:bCs/>
                <w:sz w:val="21"/>
                <w:szCs w:val="21"/>
              </w:rPr>
              <w:t xml:space="preserve">9.2 </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10.1</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10.2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r>
              <w:rPr>
                <w:rFonts w:hint="eastAsia" w:ascii="宋体" w:hAnsi="宋体" w:eastAsia="宋体" w:cs="Times New Roman"/>
                <w:b/>
                <w:bCs/>
                <w:sz w:val="21"/>
                <w:szCs w:val="21"/>
              </w:rPr>
              <w:t>岗</w:t>
            </w:r>
            <w:r>
              <w:rPr>
                <w:rFonts w:hint="eastAsia" w:ascii="Times New Roman" w:hAnsi="Times New Roman" w:eastAsia="宋体" w:cs="Times New Roman"/>
                <w:szCs w:val="22"/>
                <w:lang w:val="en-US" w:eastAsia="zh-CN"/>
              </w:rPr>
              <w:t>位、职责和权限</w:t>
            </w:r>
            <w:r>
              <w:rPr>
                <w:rFonts w:hint="eastAsia" w:ascii="宋体" w:hAnsi="宋体" w:cs="Times New Roman"/>
                <w:b/>
                <w:bCs/>
                <w:sz w:val="21"/>
                <w:szCs w:val="21"/>
                <w:lang w:eastAsia="zh-CN"/>
              </w:rPr>
              <w:t>；</w:t>
            </w:r>
          </w:p>
        </w:tc>
        <w:tc>
          <w:tcPr>
            <w:tcW w:w="960" w:type="dxa"/>
          </w:tcPr>
          <w:p>
            <w:r>
              <w:rPr>
                <w:rFonts w:hint="eastAsia" w:ascii="宋体" w:hAnsi="宋体" w:eastAsia="宋体" w:cs="Times New Roman"/>
                <w:b/>
                <w:bCs/>
                <w:sz w:val="21"/>
                <w:szCs w:val="21"/>
              </w:rPr>
              <w:t>5.3</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综合部负责人</w:t>
            </w:r>
            <w:r>
              <w:rPr>
                <w:rFonts w:hint="eastAsia" w:cs="Times New Roman"/>
                <w:szCs w:val="22"/>
                <w:lang w:val="en-US" w:eastAsia="zh-CN"/>
              </w:rPr>
              <w:t>陈猛和</w:t>
            </w:r>
            <w:r>
              <w:rPr>
                <w:rFonts w:hint="eastAsia" w:ascii="Times New Roman" w:hAnsi="Times New Roman" w:eastAsia="宋体" w:cs="Times New Roman"/>
                <w:szCs w:val="22"/>
                <w:lang w:val="en-US" w:eastAsia="zh-CN"/>
              </w:rPr>
              <w:t>总经理助理丁维介绍：在总经理领导下，主持行政人事工作、后勤工作。做好与各部门的沟通工作，上传下达；协助体系负责人建立一体化管理体系，并负责《管理手册》等工作规范文件的管理、发放和借阅工作；负责人力资源工作，负责编制年度培训计划并组织培训。建立培训档案；考核和评价培训结果的有效性；负责奖惩情况；负责全公司有关的文件资料管理，相关行业的法律法规，经营过程中形成的各种记录、图表，内部形成的规章制度，培训计划和结果，电话记录，上报的各种表格等；负责做好消防设施维护保养和日常检查工作,组织火灾应急演练；负责管理体系中相关方投诉、抱怨的处理及内外部信息沟通的处理。负责相关环境/安全/能源法律法规的获取汇总，对新出台（或更改）法律、法规和其他要求的信息传递等事项负责。</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eastAsia="zh-CN"/>
              </w:rPr>
            </w:pPr>
            <w:r>
              <w:rPr>
                <w:rFonts w:hint="eastAsia"/>
                <w:lang w:val="en-US" w:eastAsia="zh-CN"/>
              </w:rPr>
              <w:t>综合部采购岗位主要</w:t>
            </w:r>
            <w:r>
              <w:rPr>
                <w:rFonts w:hint="eastAsia"/>
              </w:rPr>
              <w:t>负责供应商管理，做好供应商的评价和登记工作；负责统计和核对采购信息，并将采购信息完整传达到供应商，确保原材料物资及时准量到达公司；负责做好与供应商的沟通工作，保持良好的合作关系，以利于公司的产品销售和客户</w:t>
            </w:r>
            <w:r>
              <w:rPr>
                <w:rFonts w:hint="eastAsia"/>
                <w:lang w:eastAsia="zh-CN"/>
              </w:rPr>
              <w:t>生产</w:t>
            </w:r>
            <w:r>
              <w:rPr>
                <w:rFonts w:hint="eastAsia"/>
              </w:rPr>
              <w:t>；在工作过程中接收到或发现有新的或修改的法律、法规及其他要求时负责将信息传递到归口管理部门；负责对公司原材料采购进行控制，施加环境/安全影响，宣传公司的质量/环境/安全</w:t>
            </w:r>
            <w:r>
              <w:rPr>
                <w:rFonts w:hint="eastAsia"/>
                <w:lang w:val="en-US" w:eastAsia="zh-CN"/>
              </w:rPr>
              <w:t>/能源</w:t>
            </w:r>
            <w:r>
              <w:rPr>
                <w:rFonts w:hint="eastAsia"/>
              </w:rPr>
              <w:t>方针</w:t>
            </w:r>
            <w:r>
              <w:rPr>
                <w:rFonts w:hint="eastAsia"/>
                <w:lang w:eastAsia="zh-CN"/>
              </w:rPr>
              <w:t>。</w:t>
            </w:r>
          </w:p>
          <w:p>
            <w:pPr>
              <w:pStyle w:val="10"/>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对职责较清晰，满足要求。</w:t>
            </w:r>
          </w:p>
          <w:p>
            <w:pPr>
              <w:pStyle w:val="10"/>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60" w:type="dxa"/>
          </w:tcPr>
          <w:p>
            <w:r>
              <w:rPr>
                <w:rFonts w:hint="eastAsia" w:ascii="宋体" w:hAnsi="宋体" w:eastAsia="宋体" w:cs="Times New Roman"/>
                <w:b/>
                <w:bCs/>
                <w:sz w:val="21"/>
                <w:szCs w:val="21"/>
              </w:rPr>
              <w:t>能源目标、指</w:t>
            </w:r>
            <w:r>
              <w:rPr>
                <w:rFonts w:hint="eastAsia" w:ascii="宋体" w:hAnsi="宋体" w:eastAsia="宋体" w:cs="Times New Roman"/>
                <w:b/>
                <w:bCs/>
                <w:sz w:val="21"/>
                <w:szCs w:val="21"/>
                <w:lang w:val="en-US" w:eastAsia="zh-CN"/>
              </w:rPr>
              <w:t>标</w:t>
            </w:r>
            <w:r>
              <w:rPr>
                <w:rFonts w:hint="eastAsia" w:ascii="宋体" w:hAnsi="宋体" w:eastAsia="宋体" w:cs="Times New Roman"/>
                <w:b/>
                <w:bCs/>
                <w:sz w:val="21"/>
                <w:szCs w:val="21"/>
              </w:rPr>
              <w:t>及其实现的策划</w:t>
            </w:r>
          </w:p>
        </w:tc>
        <w:tc>
          <w:tcPr>
            <w:tcW w:w="960" w:type="dxa"/>
          </w:tcPr>
          <w:p>
            <w:r>
              <w:rPr>
                <w:rFonts w:hint="eastAsia" w:ascii="宋体" w:hAnsi="宋体" w:eastAsia="宋体" w:cs="Times New Roman"/>
                <w:b/>
                <w:bCs/>
                <w:sz w:val="21"/>
                <w:szCs w:val="21"/>
              </w:rPr>
              <w:t xml:space="preserve">6.2 </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该公司生产产品较单一，用能种类少，主要是生产用电和运输用柴油。各部门不在单独制定能耗指标，制定公司能耗目标后各部门协助完成。</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公司级目标的设立按照GB/T36888-2018《预拌混凝土单位产品能源消耗限额》标准中准入标准（Ⅱ级）制定的，能耗指标包括：单位产品生产能耗≤0.7kgce/m3；由于产品运输外包未制定能耗目标。</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该企业2021年3月份开工生产，2021年4-9月份目标指标完成情况如下：</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单位产品生产能耗实际值0.3kgce/m</w:t>
            </w:r>
            <w:r>
              <w:rPr>
                <w:rFonts w:hint="eastAsia" w:ascii="Times New Roman" w:hAnsi="Times New Roman" w:eastAsia="宋体" w:cs="Times New Roman"/>
                <w:bCs w:val="0"/>
                <w:spacing w:val="0"/>
                <w:kern w:val="2"/>
                <w:sz w:val="21"/>
                <w:szCs w:val="22"/>
                <w:vertAlign w:val="superscript"/>
                <w:lang w:val="en-US" w:eastAsia="zh-CN" w:bidi="ar-SA"/>
              </w:rPr>
              <w:t>3</w:t>
            </w:r>
            <w:r>
              <w:rPr>
                <w:rFonts w:hint="eastAsia" w:ascii="Times New Roman" w:hAnsi="Times New Roman" w:eastAsia="宋体" w:cs="Times New Roman"/>
                <w:bCs w:val="0"/>
                <w:spacing w:val="0"/>
                <w:kern w:val="2"/>
                <w:sz w:val="21"/>
                <w:szCs w:val="22"/>
                <w:lang w:val="en-US" w:eastAsia="zh-CN" w:bidi="ar-SA"/>
              </w:rPr>
              <w:t>；</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完成指标，满足要求。</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宋体" w:hAnsi="宋体" w:cs="宋体"/>
                <w:color w:val="000000"/>
                <w:kern w:val="0"/>
                <w:szCs w:val="21"/>
                <w:vertAlign w:val="superscript"/>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60" w:type="dxa"/>
          </w:tcPr>
          <w:p>
            <w:pPr>
              <w:rPr>
                <w:rFonts w:hint="default"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节能意识，人员的能力</w:t>
            </w:r>
          </w:p>
        </w:tc>
        <w:tc>
          <w:tcPr>
            <w:tcW w:w="960" w:type="dxa"/>
          </w:tcPr>
          <w:p>
            <w:pPr>
              <w:rPr>
                <w:rFonts w:hint="default"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7.2/7.3</w:t>
            </w:r>
          </w:p>
        </w:tc>
        <w:tc>
          <w:tcPr>
            <w:tcW w:w="10004" w:type="dxa"/>
          </w:tcPr>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公司制定了各岗位的岗位任职要求，并规定所需的学历、培训、经验等内容</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提供员工能力确认记录。</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抽查综合部丁维、财务部肖梦、业务部沈祎仁等满足任职要求；</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Times New Roman" w:hAnsi="Times New Roman" w:eastAsia="宋体" w:cs="Times New Roman"/>
                <w:bCs w:val="0"/>
                <w:color w:val="00B0F0"/>
                <w:spacing w:val="0"/>
                <w:kern w:val="2"/>
                <w:sz w:val="21"/>
                <w:szCs w:val="22"/>
                <w:lang w:val="en-US" w:eastAsia="zh-CN" w:bidi="ar-SA"/>
              </w:rPr>
            </w:pPr>
            <w:r>
              <w:rPr>
                <w:rFonts w:hint="eastAsia" w:ascii="Times New Roman" w:hAnsi="Times New Roman" w:eastAsia="宋体" w:cs="Times New Roman"/>
                <w:bCs w:val="0"/>
                <w:color w:val="00B0F0"/>
                <w:spacing w:val="0"/>
                <w:kern w:val="2"/>
                <w:sz w:val="21"/>
                <w:szCs w:val="22"/>
                <w:lang w:val="en-US" w:eastAsia="zh-CN" w:bidi="ar-SA"/>
              </w:rPr>
              <w:t>提供的“员工能力确认记录” 未见生产部长姜明阳的确认记录——问题项</w:t>
            </w:r>
            <w:r>
              <w:rPr>
                <w:rFonts w:hint="eastAsia" w:cs="Times New Roman"/>
                <w:bCs w:val="0"/>
                <w:color w:val="00B0F0"/>
                <w:spacing w:val="0"/>
                <w:kern w:val="2"/>
                <w:sz w:val="21"/>
                <w:szCs w:val="22"/>
                <w:lang w:val="en-US" w:eastAsia="zh-CN" w:bidi="ar-SA"/>
              </w:rPr>
              <w:t>,</w:t>
            </w:r>
            <w:r>
              <w:rPr>
                <w:rFonts w:hint="eastAsia" w:ascii="宋体" w:hAnsi="宋体" w:eastAsia="宋体" w:cs="Times New Roman"/>
                <w:b/>
                <w:bCs/>
                <w:color w:val="0000FF"/>
                <w:spacing w:val="0"/>
                <w:kern w:val="2"/>
                <w:sz w:val="21"/>
                <w:szCs w:val="21"/>
                <w:u w:val="single"/>
                <w:lang w:val="en-US" w:eastAsia="zh-CN" w:bidi="ar-SA"/>
              </w:rPr>
              <w:t>现场审核确认已整改。</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公司制定了2021年的培训计划，共六项，编制：高杰  日期：2021-01-01批准：张龙 日期：2021-01-01</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涉及能源方面的培训计划包括：能源管理体系标准培训、生产规范培训、内审员技能培训、能源法律法规及其他要求培训4项，按照计划目前应完成3项。</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查培训记录：2021年1月10-11日完成了能源管理体系标准培训，授课人，外聘老师，参加培训人员：张龙、高杰、王磊、魏征、李研等；</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2021年3月15日完成了生产规范培训，授课人，丁维，参加培训人员：高杰、王磊、魏征、李研等；</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2021年5月12日完成了内审员审核技能培训，授课人，外聘老师，参加培训人员：张龙、高杰、王磊、魏征、李研、丁维等；</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2021年11月5日完成了能源法律法规及其他要求培训，授课人，外聘老师，参加培训人员：张龙、高杰、王磊、魏征、李研、丁维等</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以上培训全部进行了效果评估，符合要求</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宋体" w:hAnsi="宋体" w:eastAsia="宋体" w:cs="宋体"/>
                <w:bCs/>
                <w:color w:val="000000"/>
                <w:spacing w:val="10"/>
                <w:kern w:val="0"/>
                <w:sz w:val="21"/>
                <w:szCs w:val="21"/>
                <w:vertAlign w:val="baseline"/>
                <w:lang w:val="en-US" w:eastAsia="zh-CN" w:bidi="ar-SA"/>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r>
              <w:rPr>
                <w:rFonts w:hint="eastAsia" w:ascii="宋体" w:hAnsi="宋体" w:eastAsia="宋体" w:cs="Times New Roman"/>
                <w:b/>
                <w:bCs/>
                <w:sz w:val="21"/>
                <w:szCs w:val="21"/>
                <w:lang w:val="en-US" w:eastAsia="zh-CN"/>
              </w:rPr>
              <w:t>信息交流</w:t>
            </w:r>
          </w:p>
        </w:tc>
        <w:tc>
          <w:tcPr>
            <w:tcW w:w="960" w:type="dxa"/>
          </w:tcPr>
          <w:p>
            <w:r>
              <w:rPr>
                <w:rFonts w:hint="eastAsia" w:ascii="宋体" w:hAnsi="宋体" w:eastAsia="宋体" w:cs="Times New Roman"/>
                <w:b/>
                <w:bCs/>
                <w:sz w:val="21"/>
                <w:szCs w:val="21"/>
                <w:lang w:val="en-US" w:eastAsia="zh-CN"/>
              </w:rPr>
              <w:t>7.4</w:t>
            </w:r>
          </w:p>
        </w:tc>
        <w:tc>
          <w:tcPr>
            <w:tcW w:w="10004" w:type="dxa"/>
          </w:tcPr>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lang w:val="en-US" w:eastAsia="zh-CN"/>
              </w:rPr>
            </w:pPr>
            <w:r>
              <w:rPr>
                <w:rFonts w:hint="eastAsia"/>
                <w:lang w:val="en-US" w:eastAsia="zh-CN"/>
              </w:rPr>
              <w:t>公司编制了</w:t>
            </w:r>
            <w:r>
              <w:rPr>
                <w:rFonts w:hint="eastAsia"/>
                <w:szCs w:val="22"/>
                <w:lang w:val="en-US" w:eastAsia="zh-CN"/>
              </w:rPr>
              <w:t>《内部沟通控制程序》，</w:t>
            </w:r>
            <w:r>
              <w:rPr>
                <w:rFonts w:hint="eastAsia"/>
                <w:lang w:val="en-US" w:eastAsia="zh-CN"/>
              </w:rPr>
              <w:t>综合部负责公司与上级主管部门、公司附近居民及团体之间的环境及职业健康安全和能源信息交流，负责固体废弃物处理及运输等承包方和采购等承包方（供方）之间的环境及职业健康安全和能源方面的信息交流，负责接收及统筹处理公司内、外部门所反馈的环境及职业健康安全信息，是公司内外环境及职业健康安全和能源信息的反馈、处理中枢；</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抽查与供方采购合同见8.3 条款审核；</w:t>
            </w:r>
          </w:p>
          <w:p>
            <w:pPr>
              <w:pStyle w:val="10"/>
              <w:rPr>
                <w:rFonts w:hint="default" w:ascii="Times New Roman" w:hAnsi="Times New Roman" w:eastAsia="宋体" w:cs="Times New Roman"/>
                <w:szCs w:val="22"/>
                <w:highlight w:val="yellow"/>
                <w:lang w:val="en-US" w:eastAsia="zh-CN"/>
              </w:rPr>
            </w:pPr>
            <w:r>
              <w:rPr>
                <w:rFonts w:hint="eastAsia" w:ascii="Times New Roman" w:hAnsi="Times New Roman" w:eastAsia="宋体" w:cs="Times New Roman"/>
                <w:szCs w:val="22"/>
                <w:lang w:val="en-US" w:eastAsia="zh-CN"/>
              </w:rPr>
              <w:t>抽查</w:t>
            </w:r>
            <w:r>
              <w:rPr>
                <w:rFonts w:hint="eastAsia" w:cs="Times New Roman"/>
                <w:szCs w:val="22"/>
                <w:lang w:val="en-US" w:eastAsia="zh-CN"/>
              </w:rPr>
              <w:t>企业</w:t>
            </w:r>
            <w:r>
              <w:rPr>
                <w:rFonts w:hint="eastAsia" w:ascii="Times New Roman" w:hAnsi="Times New Roman" w:eastAsia="宋体" w:cs="Times New Roman"/>
                <w:szCs w:val="22"/>
                <w:lang w:val="en-US" w:eastAsia="zh-CN"/>
              </w:rPr>
              <w:t>会议纪要3份，基本符合要求。</w:t>
            </w:r>
          </w:p>
          <w:p>
            <w:pPr>
              <w:pStyle w:val="10"/>
              <w:rPr>
                <w:rFonts w:hint="eastAsia" w:ascii="Times New Roman" w:hAnsi="Times New Roman" w:eastAsia="宋体" w:cs="Times New Roman"/>
                <w:szCs w:val="22"/>
                <w:highlight w:val="none"/>
                <w:lang w:val="en-US" w:eastAsia="zh-CN"/>
              </w:rPr>
            </w:pPr>
            <w:r>
              <w:rPr>
                <w:rFonts w:hint="eastAsia" w:ascii="Times New Roman" w:hAnsi="Times New Roman" w:eastAsia="宋体" w:cs="Times New Roman"/>
                <w:szCs w:val="22"/>
                <w:highlight w:val="none"/>
                <w:lang w:val="en-US" w:eastAsia="zh-CN"/>
              </w:rPr>
              <w:t>抽查培训情况见7.2/7.3条款审核记录；</w:t>
            </w:r>
          </w:p>
          <w:p>
            <w:pPr>
              <w:pStyle w:val="10"/>
              <w:rPr>
                <w:rFonts w:hint="default" w:ascii="Times New Roman" w:hAnsi="Times New Roman" w:eastAsia="宋体" w:cs="Times New Roman"/>
                <w:szCs w:val="22"/>
                <w:highlight w:val="yellow"/>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文件化信息</w:t>
            </w:r>
          </w:p>
        </w:tc>
        <w:tc>
          <w:tcPr>
            <w:tcW w:w="9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 xml:space="preserve">7.5 </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公司编制了《一体化管理手册》、编制了31个程序文件（含质量环境和职业健康安全相关文件），制定了相关的管理制度和记录，形成了公司的文件化信息。</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以上信息可以得到有效控制。满足要求。</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运行的策划和控制</w:t>
            </w:r>
          </w:p>
        </w:tc>
        <w:tc>
          <w:tcPr>
            <w:tcW w:w="9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8.1</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lang w:val="en-US" w:eastAsia="zh-CN"/>
              </w:rPr>
              <w:t xml:space="preserve"> 公司策划、实施和控制满足产品和服务要求所需的过程，确定生产过程中的能源能管理要求并建立适当的准则予以控制。考虑过程控制、法律法规要求以及相关方的期望等条件。</w:t>
            </w:r>
          </w:p>
          <w:p>
            <w:pPr>
              <w:pStyle w:val="4"/>
              <w:keepNext w:val="0"/>
              <w:keepLines w:val="0"/>
              <w:pageBreakBefore w:val="0"/>
              <w:widowControl w:val="0"/>
              <w:kinsoku/>
              <w:wordWrap/>
              <w:overflowPunct/>
              <w:topLinePunct w:val="0"/>
              <w:autoSpaceDE/>
              <w:autoSpaceDN/>
              <w:bidi w:val="0"/>
              <w:adjustRightInd/>
              <w:snapToGrid/>
              <w:spacing w:before="120" w:line="240" w:lineRule="auto"/>
              <w:ind w:firstLine="400" w:firstLineChars="200"/>
              <w:textAlignment w:val="auto"/>
              <w:rPr>
                <w:rFonts w:hint="eastAsia"/>
                <w:lang w:val="en-US" w:eastAsia="zh-CN"/>
              </w:rPr>
            </w:pPr>
            <w:r>
              <w:rPr>
                <w:rFonts w:hint="eastAsia"/>
                <w:lang w:val="en-US" w:eastAsia="zh-CN"/>
              </w:rPr>
              <w:t xml:space="preserve"> 抽查企业编制了《能资源管理制度》明确加强能源管理，合理利用能源，杜绝浪费，降低能耗，提高公司的经济效益的控制措施，并监督检查执行。</w:t>
            </w:r>
          </w:p>
          <w:p>
            <w:pPr>
              <w:pStyle w:val="4"/>
              <w:keepNext w:val="0"/>
              <w:keepLines w:val="0"/>
              <w:pageBreakBefore w:val="0"/>
              <w:widowControl w:val="0"/>
              <w:kinsoku/>
              <w:wordWrap/>
              <w:overflowPunct/>
              <w:topLinePunct w:val="0"/>
              <w:autoSpaceDE/>
              <w:autoSpaceDN/>
              <w:bidi w:val="0"/>
              <w:adjustRightInd/>
              <w:snapToGrid/>
              <w:spacing w:before="120" w:line="240" w:lineRule="auto"/>
              <w:ind w:firstLine="400" w:firstLineChars="200"/>
              <w:textAlignment w:val="auto"/>
              <w:rPr>
                <w:rFonts w:hint="eastAsia"/>
                <w:lang w:val="en-US" w:eastAsia="zh-CN"/>
              </w:rPr>
            </w:pPr>
            <w:r>
              <w:rPr>
                <w:rFonts w:hint="eastAsia"/>
                <w:lang w:val="en-US" w:eastAsia="zh-CN"/>
              </w:rPr>
              <w:t>抽查：生产现场检查记录，内容包括：消防、环保、安全、节能、设备保养等，查看2021年3-10月份的检查情况，满足要求。</w:t>
            </w:r>
          </w:p>
          <w:p>
            <w:pPr>
              <w:pStyle w:val="4"/>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lang w:val="en-US" w:eastAsia="zh-CN"/>
              </w:rPr>
            </w:pPr>
            <w:r>
              <w:rPr>
                <w:rFonts w:hint="eastAsia"/>
                <w:lang w:val="en-US" w:eastAsia="zh-CN"/>
              </w:rPr>
              <w:t>抽查产品出厂控制记录，符合要求。</w:t>
            </w:r>
          </w:p>
          <w:p>
            <w:pPr>
              <w:pStyle w:val="4"/>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eastAsia="宋体"/>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采购</w:t>
            </w:r>
          </w:p>
        </w:tc>
        <w:tc>
          <w:tcPr>
            <w:tcW w:w="9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8.3</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公司编制了《采购控制程序》抽查电力采购合同，签订时间2020年12月，供电人：国网河北省电力有限公司保定市徐水区供电分公司，用户编号：076148819。</w:t>
            </w:r>
          </w:p>
          <w:p>
            <w:pPr>
              <w:pStyle w:val="10"/>
              <w:rPr>
                <w:rFonts w:hint="eastAsia"/>
                <w:lang w:val="en-US" w:eastAsia="zh-CN"/>
              </w:rPr>
            </w:pPr>
            <w:r>
              <w:rPr>
                <w:rFonts w:hint="eastAsia"/>
                <w:lang w:val="en-US" w:eastAsia="zh-CN"/>
              </w:rPr>
              <w:t>抽查用能设备采购合同，该企业主能设备主要是搅拌站，提供搅拌站买卖合同</w:t>
            </w:r>
          </w:p>
          <w:p>
            <w:pPr>
              <w:pStyle w:val="10"/>
              <w:rPr>
                <w:rFonts w:hint="default" w:ascii="Times New Roman" w:hAnsi="Times New Roman" w:eastAsia="宋体" w:cs="Times New Roman"/>
                <w:bCs w:val="0"/>
                <w:spacing w:val="0"/>
                <w:kern w:val="2"/>
                <w:sz w:val="21"/>
                <w:szCs w:val="22"/>
                <w:lang w:val="en-US" w:eastAsia="zh-CN" w:bidi="ar-SA"/>
              </w:rPr>
            </w:pPr>
            <w:r>
              <w:drawing>
                <wp:inline distT="0" distB="0" distL="114300" distR="114300">
                  <wp:extent cx="6212840" cy="2961640"/>
                  <wp:effectExtent l="0" t="0" r="10160" b="1016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7"/>
                          <a:stretch>
                            <a:fillRect/>
                          </a:stretch>
                        </pic:blipFill>
                        <pic:spPr>
                          <a:xfrm>
                            <a:off x="0" y="0"/>
                            <a:ext cx="6212840" cy="2961640"/>
                          </a:xfrm>
                          <a:prstGeom prst="rect">
                            <a:avLst/>
                          </a:prstGeom>
                          <a:noFill/>
                          <a:ln>
                            <a:noFill/>
                          </a:ln>
                        </pic:spPr>
                      </pic:pic>
                    </a:graphicData>
                  </a:graphic>
                </wp:inline>
              </w:drawing>
            </w:r>
          </w:p>
          <w:p>
            <w:pPr>
              <w:pStyle w:val="10"/>
              <w:rPr>
                <w:rFonts w:hint="eastAsia"/>
                <w:lang w:val="en-US" w:eastAsia="zh-CN"/>
              </w:rPr>
            </w:pPr>
            <w:r>
              <w:rPr>
                <w:rFonts w:hint="eastAsia" w:ascii="Times New Roman" w:hAnsi="Times New Roman" w:eastAsia="宋体" w:cs="Times New Roman"/>
                <w:bCs w:val="0"/>
                <w:spacing w:val="0"/>
                <w:kern w:val="2"/>
                <w:sz w:val="21"/>
                <w:szCs w:val="22"/>
                <w:lang w:val="en-US" w:eastAsia="zh-CN" w:bidi="ar-SA"/>
              </w:rPr>
              <w:t>提供</w:t>
            </w:r>
            <w:r>
              <w:rPr>
                <w:rFonts w:hint="eastAsia"/>
                <w:lang w:val="en-US" w:eastAsia="zh-CN"/>
              </w:rPr>
              <w:t>供用水协议：甲方：保定市蓄水区遂城镇遂城村村民委员会，签订时间及有效期2020年12月-2040年2月。</w:t>
            </w:r>
          </w:p>
          <w:p>
            <w:pPr>
              <w:pStyle w:val="10"/>
              <w:rPr>
                <w:rFonts w:hint="eastAsia"/>
                <w:lang w:val="en-US" w:eastAsia="zh-CN"/>
              </w:rPr>
            </w:pPr>
            <w:r>
              <w:rPr>
                <w:rFonts w:hint="eastAsia"/>
                <w:lang w:val="en-US" w:eastAsia="zh-CN"/>
              </w:rPr>
              <w:t>审核中要求企业在采购中尽可能选用国家推荐节能产品，关注淘汰落后设备的使用并定期对照标准进行核查。</w:t>
            </w:r>
          </w:p>
          <w:p>
            <w:pPr>
              <w:pStyle w:val="10"/>
              <w:rPr>
                <w:rFonts w:hint="default"/>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能源绩效和能源管理体系的监视、测量、分析和评价</w:t>
            </w:r>
          </w:p>
        </w:tc>
        <w:tc>
          <w:tcPr>
            <w:tcW w:w="9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9.1.1</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编制了《</w:t>
            </w:r>
            <w:r>
              <w:rPr>
                <w:rFonts w:hint="eastAsia" w:ascii="Times New Roman" w:hAnsi="Times New Roman" w:eastAsia="宋体" w:cs="宋体"/>
                <w:szCs w:val="22"/>
              </w:rPr>
              <w:t>绩效监测控制程序</w:t>
            </w:r>
            <w:r>
              <w:rPr>
                <w:rFonts w:hint="eastAsia" w:cs="宋体"/>
              </w:rPr>
              <w:t>》，通过以下几种方式对运行过程进行监视和测量：</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内审、管理评审、目标考核、过程的监视和测量检查等。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内审、管理评审、目标考核详见</w:t>
            </w:r>
            <w:r>
              <w:rPr>
                <w:rFonts w:hint="eastAsia"/>
              </w:rPr>
              <w:t>相关</w:t>
            </w:r>
            <w:r>
              <w:rPr>
                <w:rFonts w:hint="eastAsia" w:cs="宋体"/>
              </w:rPr>
              <w:t>审核记录</w:t>
            </w:r>
            <w: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每月进行一次过程的监视和测量的检查，发现问题立即整改。</w:t>
            </w:r>
          </w:p>
          <w:p>
            <w:pPr>
              <w:pStyle w:val="4"/>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kern w:val="2"/>
                <w:sz w:val="21"/>
                <w:szCs w:val="22"/>
                <w:lang w:val="en-US" w:eastAsia="zh-CN" w:bidi="ar-SA"/>
              </w:rPr>
            </w:pPr>
            <w:r>
              <w:rPr>
                <w:rFonts w:hint="eastAsia" w:cs="宋体"/>
              </w:rPr>
              <w:t>查</w:t>
            </w:r>
            <w:r>
              <w:rPr>
                <w:rFonts w:hint="eastAsia" w:ascii="Times New Roman" w:hAnsi="Times New Roman" w:eastAsia="宋体" w:cs="Times New Roman"/>
                <w:kern w:val="2"/>
                <w:sz w:val="21"/>
                <w:szCs w:val="22"/>
                <w:lang w:val="en-US" w:eastAsia="zh-CN" w:bidi="ar-SA"/>
              </w:rPr>
              <w:t>2021年3-10月份的生产现场检查记录，内容包括：消防、环保、安全、节能、设备保养等，查看，满足要求。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日常监督检查：</w:t>
            </w:r>
            <w:r>
              <w:rPr>
                <w:rFonts w:hint="eastAsia" w:cs="宋体"/>
                <w:lang w:val="en-US" w:eastAsia="zh-CN"/>
              </w:rPr>
              <w:t>综合部</w:t>
            </w:r>
            <w:r>
              <w:rPr>
                <w:rFonts w:hint="eastAsia" w:cs="宋体"/>
              </w:rPr>
              <w:t>负责对各部门的</w:t>
            </w:r>
            <w:r>
              <w:rPr>
                <w:rFonts w:hint="eastAsia" w:cs="宋体"/>
                <w:lang w:val="en-US" w:eastAsia="zh-CN"/>
              </w:rPr>
              <w:t>节水借点情况</w:t>
            </w:r>
            <w:r>
              <w:rPr>
                <w:rFonts w:hint="eastAsia" w:cs="宋体"/>
              </w:rPr>
              <w:t>进行不定期的巡检。巡检内容包括：</w:t>
            </w:r>
            <w:r>
              <w:rPr>
                <w:rFonts w:hint="eastAsia" w:cs="宋体"/>
                <w:lang w:val="en-US" w:eastAsia="zh-CN"/>
              </w:rPr>
              <w:t>生产</w:t>
            </w:r>
            <w:r>
              <w:rPr>
                <w:rFonts w:hint="eastAsia" w:cs="宋体"/>
              </w:rPr>
              <w:t>现场是否</w:t>
            </w:r>
            <w:r>
              <w:rPr>
                <w:rFonts w:hint="eastAsia" w:cs="宋体"/>
                <w:lang w:val="en-US" w:eastAsia="zh-CN"/>
              </w:rPr>
              <w:t>有长流水、长明灯现象</w:t>
            </w:r>
            <w:r>
              <w:rPr>
                <w:rFonts w:hint="eastAsia" w:cs="宋体"/>
              </w:rPr>
              <w:t>等。</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cs="宋体"/>
              </w:rPr>
            </w:pPr>
            <w:r>
              <w:rPr>
                <w:rFonts w:hint="eastAsia" w:cs="宋体"/>
                <w:lang w:val="en-US" w:eastAsia="zh-CN"/>
              </w:rPr>
              <w:t>通过能源评审和数据收集分析进行能源消耗的监视测量，建能源评审报告</w:t>
            </w:r>
            <w:r>
              <w:rPr>
                <w:rFonts w:hint="eastAsia" w:cs="宋体"/>
              </w:rPr>
              <w:t>。</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rPr>
              <w:t>法律法规要求和其他要求的合规性评价</w:t>
            </w:r>
          </w:p>
        </w:tc>
        <w:tc>
          <w:tcPr>
            <w:tcW w:w="9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rPr>
              <w:t>9.1.2</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公司编制了《</w:t>
            </w:r>
            <w:r>
              <w:rPr>
                <w:rFonts w:hint="eastAsia"/>
                <w:lang w:val="zh-CN" w:eastAsia="zh-CN"/>
              </w:rPr>
              <w:t>法律法规和其他要求获取识别更新控制程序</w:t>
            </w:r>
            <w:r>
              <w:rPr>
                <w:rFonts w:hint="eastAsia"/>
                <w:lang w:val="en-US" w:eastAsia="zh-CN"/>
              </w:rPr>
              <w:t>》和《</w:t>
            </w:r>
            <w:r>
              <w:rPr>
                <w:rFonts w:hint="eastAsia"/>
                <w:lang w:val="zh-CN" w:eastAsia="zh-CN"/>
              </w:rPr>
              <w:t>合规性评价控制程序</w:t>
            </w:r>
            <w:r>
              <w:rPr>
                <w:rFonts w:hint="eastAsia"/>
                <w:lang w:val="en-US" w:eastAsia="zh-CN"/>
              </w:rPr>
              <w:t>》对能源法律法规的收集、转化、使用及评价进行了规定。</w:t>
            </w:r>
          </w:p>
          <w:p>
            <w:pPr>
              <w:pStyle w:val="1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提供适用国家法律法规及其他要求评价表(能源），更新时间：2021年6月1日收集的法律法规基本齐全，符合要求。</w:t>
            </w:r>
          </w:p>
          <w:p>
            <w:pPr>
              <w:pStyle w:val="1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提供合规性评价报告，2021年6月2日组织了合规性评价，形成了评价报告。评价结论：符合。</w:t>
            </w:r>
          </w:p>
          <w:p>
            <w:pPr>
              <w:pStyle w:val="1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满足标准要求。</w:t>
            </w:r>
          </w:p>
          <w:p>
            <w:pPr>
              <w:pStyle w:val="10"/>
              <w:rPr>
                <w:rFonts w:hint="default"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内部审核</w:t>
            </w:r>
          </w:p>
        </w:tc>
        <w:tc>
          <w:tcPr>
            <w:tcW w:w="9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9.2</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zh-CN" w:eastAsia="zh-CN"/>
              </w:rPr>
            </w:pPr>
            <w:r>
              <w:rPr>
                <w:rFonts w:hint="eastAsia" w:ascii="Times New Roman" w:hAnsi="Times New Roman" w:eastAsia="宋体" w:cs="Times New Roman"/>
                <w:szCs w:val="22"/>
                <w:lang w:val="en-US" w:eastAsia="zh-CN"/>
              </w:rPr>
              <w:t>综合部</w:t>
            </w:r>
            <w:r>
              <w:rPr>
                <w:rFonts w:hint="eastAsia" w:ascii="Times New Roman" w:hAnsi="Times New Roman" w:eastAsia="宋体" w:cs="Times New Roman"/>
                <w:szCs w:val="22"/>
                <w:lang w:val="zh-CN" w:eastAsia="zh-CN"/>
              </w:rPr>
              <w:t>制定并实施《内部审核控制程序》，有计划地通过内审来衡量本公司的</w:t>
            </w:r>
            <w:r>
              <w:rPr>
                <w:rFonts w:hint="eastAsia" w:ascii="Times New Roman" w:hAnsi="Times New Roman" w:eastAsia="宋体" w:cs="Times New Roman"/>
                <w:szCs w:val="22"/>
                <w:lang w:val="en-US" w:eastAsia="zh-CN"/>
              </w:rPr>
              <w:t>一体化</w:t>
            </w:r>
            <w:r>
              <w:rPr>
                <w:rFonts w:hint="eastAsia" w:ascii="Times New Roman" w:hAnsi="Times New Roman" w:eastAsia="宋体" w:cs="Times New Roman"/>
                <w:szCs w:val="22"/>
                <w:lang w:val="zh-CN" w:eastAsia="zh-CN"/>
              </w:rPr>
              <w:t>管理体系是否符合标准、文件、顾客及法律法规要求；是否有效地实施和保持。</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查：内审资料汇编，包括：内审通知书、内审实施计划、内审首次会议签到表、内审检查表、内审末次会议签到表、内部审核报告、不符合项报告、培训效果确认记录等。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lang w:val="en-US" w:eastAsia="zh-CN"/>
              </w:rPr>
              <w:t>2021</w:t>
            </w:r>
            <w:r>
              <w:rPr>
                <w:rFonts w:hint="eastAsia"/>
              </w:rPr>
              <w:t>.</w:t>
            </w:r>
            <w:r>
              <w:rPr>
                <w:rFonts w:hint="eastAsia"/>
                <w:lang w:val="en-US" w:eastAsia="zh-CN"/>
              </w:rPr>
              <w:t>9.16</w:t>
            </w:r>
            <w:r>
              <w:rPr>
                <w:rFonts w:hint="eastAsia" w:cs="宋体"/>
              </w:rPr>
              <w:t>开展管理体系内部审核活动，并提供有以下内审的资料：</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w:t>
            </w:r>
            <w:r>
              <w:rPr>
                <w:rFonts w:hint="eastAsia" w:cs="宋体"/>
                <w:lang w:val="en-US" w:eastAsia="zh-CN"/>
              </w:rPr>
              <w:t>2021年内部</w:t>
            </w:r>
            <w:r>
              <w:rPr>
                <w:rFonts w:hint="eastAsia" w:cs="宋体"/>
              </w:rPr>
              <w:t>审核实施计划》，编制：</w:t>
            </w:r>
            <w:r>
              <w:rPr>
                <w:rFonts w:hint="eastAsia" w:cs="宋体"/>
                <w:lang w:val="en-US" w:eastAsia="zh-CN"/>
              </w:rPr>
              <w:t>高杰</w:t>
            </w:r>
            <w:r>
              <w:rPr>
                <w:rFonts w:hint="eastAsia" w:cs="宋体"/>
              </w:rPr>
              <w:t>20</w:t>
            </w:r>
            <w:r>
              <w:rPr>
                <w:rFonts w:hint="eastAsia" w:cs="宋体"/>
                <w:lang w:val="en-US" w:eastAsia="zh-CN"/>
              </w:rPr>
              <w:t>21</w:t>
            </w:r>
            <w:r>
              <w:rPr>
                <w:rFonts w:hint="eastAsia" w:cs="宋体"/>
              </w:rPr>
              <w:t>.</w:t>
            </w:r>
            <w:r>
              <w:rPr>
                <w:rFonts w:hint="eastAsia" w:cs="宋体"/>
                <w:lang w:val="en-US" w:eastAsia="zh-CN"/>
              </w:rPr>
              <w:t>9</w:t>
            </w:r>
            <w:r>
              <w:rPr>
                <w:rFonts w:hint="eastAsia" w:cs="宋体"/>
              </w:rPr>
              <w:t>.</w:t>
            </w:r>
            <w:r>
              <w:rPr>
                <w:rFonts w:hint="eastAsia" w:cs="宋体"/>
                <w:lang w:val="en-US" w:eastAsia="zh-CN"/>
              </w:rPr>
              <w:t>10</w:t>
            </w:r>
            <w:r>
              <w:t xml:space="preserve"> </w:t>
            </w:r>
            <w:r>
              <w:rPr>
                <w:rFonts w:hint="eastAsia" w:cs="宋体"/>
              </w:rPr>
              <w:t>批准：</w:t>
            </w:r>
            <w:r>
              <w:rPr>
                <w:rFonts w:hint="eastAsia" w:cs="宋体"/>
                <w:lang w:val="en-US" w:eastAsia="zh-CN"/>
              </w:rPr>
              <w:t>张龙</w:t>
            </w:r>
            <w:r>
              <w:rPr>
                <w:rFonts w:hint="eastAsia" w:cs="宋体"/>
              </w:rPr>
              <w:t>计划中规定审核的目的、依据、范围、时间、审核安排；审核组组长：</w:t>
            </w:r>
            <w:r>
              <w:rPr>
                <w:rFonts w:hint="eastAsia" w:cs="宋体"/>
                <w:lang w:val="en-US" w:eastAsia="zh-CN"/>
              </w:rPr>
              <w:t>高杰</w:t>
            </w:r>
            <w:r>
              <w:rPr>
                <w:rFonts w:hint="eastAsia" w:cs="宋体"/>
              </w:rPr>
              <w:t>，组员：</w:t>
            </w:r>
            <w:r>
              <w:rPr>
                <w:rFonts w:hint="eastAsia" w:cs="宋体"/>
                <w:lang w:val="en-US" w:eastAsia="zh-CN"/>
              </w:rPr>
              <w:t>魏征</w:t>
            </w:r>
            <w:r>
              <w:rPr>
                <w:rFonts w:hint="eastAsia" w:cs="宋体"/>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计划中没有漏标准条款、没有遗漏体系覆盖的部门和场所，内审员没有审核自己的工作。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内审首末次会议签到（领导层、各部门负责人）；</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内部审核检查表，审核按计划进行，没有遗漏条款及体系覆盖的部门和场所，内审员没有审核自己的工作。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eastAsia="宋体"/>
                <w:lang w:val="en-US" w:eastAsia="zh-CN"/>
              </w:rPr>
            </w:pPr>
            <w:r>
              <w:rPr>
                <w:rFonts w:hint="eastAsia" w:cs="宋体"/>
              </w:rPr>
              <w:t>内审发现</w:t>
            </w:r>
            <w:r>
              <w:rPr>
                <w:rFonts w:hint="eastAsia"/>
              </w:rPr>
              <w:t>1</w:t>
            </w:r>
            <w:r>
              <w:rPr>
                <w:rFonts w:hint="eastAsia" w:cs="宋体"/>
              </w:rPr>
              <w:t>项不合格，为一般不符合项，查看《不符合报告》（</w:t>
            </w:r>
            <w:r>
              <w:rPr>
                <w:rFonts w:hint="eastAsia" w:cs="宋体"/>
                <w:lang w:val="en-US" w:eastAsia="zh-CN"/>
              </w:rPr>
              <w:t>综合部7</w:t>
            </w:r>
            <w:r>
              <w:rPr>
                <w:rFonts w:hint="eastAsia" w:cs="宋体"/>
              </w:rPr>
              <w:t>.</w:t>
            </w:r>
            <w:r>
              <w:rPr>
                <w:rFonts w:hint="eastAsia" w:cs="宋体"/>
                <w:lang w:val="en-US" w:eastAsia="zh-CN"/>
              </w:rPr>
              <w:t>5</w:t>
            </w:r>
            <w:r>
              <w:rPr>
                <w:rFonts w:hint="eastAsia" w:cs="宋体"/>
              </w:rPr>
              <w:t>），不符合事实描述</w:t>
            </w:r>
            <w:r>
              <w:rPr>
                <w:rFonts w:hint="eastAsia" w:cs="宋体"/>
                <w:lang w:val="en-US" w:eastAsia="zh-CN"/>
              </w:rPr>
              <w:t>:“</w:t>
            </w:r>
            <w:r>
              <w:rPr>
                <w:rFonts w:hint="eastAsia" w:ascii="宋体" w:hAnsi="宋体"/>
                <w:szCs w:val="21"/>
                <w:lang w:val="en-US" w:eastAsia="zh-CN"/>
              </w:rPr>
              <w:t>公司收集的节约能源法等法规文件未</w:t>
            </w:r>
            <w:r>
              <w:rPr>
                <w:rFonts w:hint="eastAsia" w:ascii="宋体" w:hAnsi="宋体"/>
                <w:szCs w:val="21"/>
              </w:rPr>
              <w:t>发至使用场所</w:t>
            </w:r>
            <w:r>
              <w:rPr>
                <w:rFonts w:hint="eastAsia" w:cs="宋体"/>
                <w:lang w:val="en-US" w:eastAsia="zh-CN"/>
              </w:rPr>
              <w:t>”</w:t>
            </w:r>
            <w:r>
              <w:rPr>
                <w:rFonts w:hint="eastAsia" w:cs="宋体"/>
              </w:rPr>
              <w:t>，不符合原因分析准确，并制定了纠正及纠正预防措施，且措施可行，并对其有效性进行了验证，验证人：</w:t>
            </w:r>
            <w:r>
              <w:rPr>
                <w:rFonts w:hint="eastAsia" w:cs="宋体"/>
                <w:lang w:val="en-US" w:eastAsia="zh-CN"/>
              </w:rPr>
              <w:t>魏征</w:t>
            </w:r>
            <w:r>
              <w:rPr>
                <w:rFonts w:hint="eastAsia" w:cs="宋体"/>
              </w:rPr>
              <w:t>20</w:t>
            </w:r>
            <w:r>
              <w:rPr>
                <w:rFonts w:hint="eastAsia" w:cs="宋体"/>
                <w:lang w:val="en-US" w:eastAsia="zh-CN"/>
              </w:rPr>
              <w:t>21.9.20</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内审有《</w:t>
            </w:r>
            <w:r>
              <w:rPr>
                <w:rFonts w:hint="eastAsia" w:cs="宋体"/>
                <w:lang w:val="en-US" w:eastAsia="zh-CN"/>
              </w:rPr>
              <w:t>2021年</w:t>
            </w:r>
            <w:r>
              <w:rPr>
                <w:rFonts w:hint="eastAsia" w:cs="宋体"/>
              </w:rPr>
              <w:t>内部管理体系审核报告》</w:t>
            </w:r>
            <w:r>
              <w:rPr>
                <w:rFonts w:hint="eastAsia" w:cs="宋体"/>
                <w:lang w:val="en-US" w:eastAsia="zh-CN"/>
              </w:rPr>
              <w:t>，</w:t>
            </w:r>
            <w:r>
              <w:rPr>
                <w:rFonts w:hint="eastAsia" w:cs="宋体"/>
              </w:rPr>
              <w:t>结论：</w:t>
            </w:r>
            <w:r>
              <w:rPr>
                <w:rFonts w:hint="eastAsia" w:cs="宋体"/>
                <w:lang w:val="en-US" w:eastAsia="zh-CN"/>
              </w:rPr>
              <w:t>基本符合计划和</w:t>
            </w:r>
            <w:r>
              <w:rPr>
                <w:rFonts w:hint="eastAsia" w:cs="宋体"/>
              </w:rPr>
              <w:t>标准的要求</w:t>
            </w:r>
            <w:r>
              <w:rPr>
                <w:rFonts w:hint="eastAsia" w:cs="宋体"/>
                <w:lang w:eastAsia="zh-CN"/>
              </w:rPr>
              <w:t>，</w:t>
            </w:r>
            <w:r>
              <w:rPr>
                <w:rFonts w:hint="eastAsia" w:cs="宋体"/>
                <w:lang w:val="en-US" w:eastAsia="zh-CN"/>
              </w:rPr>
              <w:t>并得到了较</w:t>
            </w:r>
            <w:r>
              <w:rPr>
                <w:rFonts w:hint="eastAsia" w:cs="宋体"/>
              </w:rPr>
              <w:t>有效</w:t>
            </w:r>
            <w:r>
              <w:rPr>
                <w:rFonts w:hint="eastAsia" w:cs="宋体"/>
                <w:lang w:val="en-US" w:eastAsia="zh-CN"/>
              </w:rPr>
              <w:t>实施和保持</w:t>
            </w:r>
            <w:r>
              <w:rPr>
                <w:rFonts w:hint="eastAsia" w:cs="宋体"/>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cs="宋体"/>
              </w:rPr>
            </w:pPr>
            <w:r>
              <w:rPr>
                <w:rFonts w:hint="eastAsia" w:cs="宋体"/>
              </w:rPr>
              <w:t>编制：</w:t>
            </w:r>
            <w:r>
              <w:rPr>
                <w:rFonts w:hint="eastAsia" w:cs="宋体"/>
                <w:lang w:val="en-US" w:eastAsia="zh-CN"/>
              </w:rPr>
              <w:t>高杰</w:t>
            </w:r>
            <w:r>
              <w:rPr>
                <w:rFonts w:hint="eastAsia" w:cs="宋体"/>
              </w:rPr>
              <w:t>20</w:t>
            </w:r>
            <w:r>
              <w:rPr>
                <w:rFonts w:hint="eastAsia" w:cs="宋体"/>
                <w:lang w:val="en-US" w:eastAsia="zh-CN"/>
              </w:rPr>
              <w:t>21</w:t>
            </w:r>
            <w:r>
              <w:rPr>
                <w:rFonts w:hint="eastAsia" w:cs="宋体"/>
              </w:rPr>
              <w:t>年</w:t>
            </w:r>
            <w:r>
              <w:rPr>
                <w:rFonts w:hint="eastAsia" w:cs="宋体"/>
                <w:lang w:val="en-US" w:eastAsia="zh-CN"/>
              </w:rPr>
              <w:t>9</w:t>
            </w:r>
            <w:r>
              <w:rPr>
                <w:rFonts w:hint="eastAsia" w:cs="宋体"/>
              </w:rPr>
              <w:t>月</w:t>
            </w:r>
            <w:r>
              <w:rPr>
                <w:rFonts w:hint="eastAsia" w:cs="宋体"/>
                <w:lang w:val="en-US" w:eastAsia="zh-CN"/>
              </w:rPr>
              <w:t>16</w:t>
            </w:r>
            <w:r>
              <w:rPr>
                <w:rFonts w:hint="eastAsia" w:cs="宋体"/>
              </w:rPr>
              <w:t xml:space="preserve">日   </w:t>
            </w:r>
            <w:r>
              <w:t xml:space="preserve"> </w:t>
            </w:r>
            <w:r>
              <w:rPr>
                <w:rFonts w:hint="eastAsia" w:cs="宋体"/>
              </w:rPr>
              <w:t>批准：</w:t>
            </w:r>
            <w:r>
              <w:rPr>
                <w:rFonts w:hint="eastAsia" w:cs="宋体"/>
                <w:lang w:val="en-US" w:eastAsia="zh-CN"/>
              </w:rPr>
              <w:t>张龙</w:t>
            </w:r>
            <w:r>
              <w:rPr>
                <w:rFonts w:hint="eastAsia" w:cs="宋体"/>
              </w:rPr>
              <w:t>20</w:t>
            </w:r>
            <w:r>
              <w:rPr>
                <w:rFonts w:hint="eastAsia" w:cs="宋体"/>
                <w:lang w:val="en-US" w:eastAsia="zh-CN"/>
              </w:rPr>
              <w:t>21</w:t>
            </w:r>
            <w:r>
              <w:rPr>
                <w:rFonts w:hint="eastAsia" w:cs="宋体"/>
              </w:rPr>
              <w:t>年</w:t>
            </w:r>
            <w:r>
              <w:rPr>
                <w:rFonts w:hint="eastAsia" w:cs="宋体"/>
                <w:lang w:val="en-US" w:eastAsia="zh-CN"/>
              </w:rPr>
              <w:t>9</w:t>
            </w:r>
            <w:r>
              <w:rPr>
                <w:rFonts w:hint="eastAsia" w:cs="宋体"/>
              </w:rPr>
              <w:t>月</w:t>
            </w:r>
            <w:r>
              <w:rPr>
                <w:rFonts w:hint="eastAsia" w:cs="宋体"/>
                <w:lang w:val="en-US" w:eastAsia="zh-CN"/>
              </w:rPr>
              <w:t>16</w:t>
            </w:r>
            <w:r>
              <w:rPr>
                <w:rFonts w:hint="eastAsia" w:cs="宋体"/>
              </w:rPr>
              <w:t>日</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cs="宋体"/>
              </w:rPr>
            </w:pPr>
            <w:r>
              <w:rPr>
                <w:rFonts w:hint="eastAsia" w:cs="宋体"/>
              </w:rPr>
              <w:t>经查，符合要求。</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不符合与纠正措施</w:t>
            </w:r>
          </w:p>
        </w:tc>
        <w:tc>
          <w:tcPr>
            <w:tcW w:w="9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10.1</w:t>
            </w:r>
          </w:p>
        </w:tc>
        <w:tc>
          <w:tcPr>
            <w:tcW w:w="10004" w:type="dxa"/>
          </w:tcPr>
          <w:p>
            <w:pPr>
              <w:keepNext w:val="0"/>
              <w:keepLines w:val="0"/>
              <w:pageBreakBefore w:val="0"/>
              <w:widowControl w:val="0"/>
              <w:tabs>
                <w:tab w:val="left" w:pos="1337"/>
              </w:tabs>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lang w:val="en-US" w:eastAsia="zh-CN"/>
              </w:rPr>
              <w:t>公司编制了《</w:t>
            </w:r>
            <w:r>
              <w:rPr>
                <w:rFonts w:hint="eastAsia" w:asciiTheme="minorEastAsia" w:hAnsiTheme="minorEastAsia" w:eastAsiaTheme="minorEastAsia" w:cstheme="minorEastAsia"/>
                <w:bCs/>
                <w:szCs w:val="21"/>
              </w:rPr>
              <w:t>纠正和预防措施控制程序</w:t>
            </w:r>
            <w:r>
              <w:rPr>
                <w:rFonts w:hint="eastAsia"/>
                <w:lang w:val="en-US" w:eastAsia="zh-CN"/>
              </w:rPr>
              <w:t>》对发现的</w:t>
            </w:r>
            <w:r>
              <w:rPr>
                <w:rFonts w:hint="eastAsia" w:ascii="Times New Roman" w:hAnsi="Times New Roman" w:eastAsia="宋体" w:cs="Times New Roman"/>
                <w:szCs w:val="22"/>
                <w:lang w:val="en-US" w:eastAsia="zh-CN"/>
              </w:rPr>
              <w:t>问题，实施纠正措施，消除不合格的原因，以防止其再发生。以实现能源管理体系及产品符合性的持续改进。</w:t>
            </w:r>
          </w:p>
          <w:p>
            <w:pPr>
              <w:keepNext w:val="0"/>
              <w:keepLines w:val="0"/>
              <w:pageBreakBefore w:val="0"/>
              <w:widowControl w:val="0"/>
              <w:tabs>
                <w:tab w:val="left" w:pos="1337"/>
              </w:tabs>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lang w:val="en-US" w:eastAsia="zh-CN"/>
              </w:rPr>
              <w:t>日常检查中的问题整改；已完成。</w:t>
            </w:r>
          </w:p>
          <w:p>
            <w:pPr>
              <w:pStyle w:val="10"/>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cs="Times New Roman"/>
                <w:szCs w:val="22"/>
                <w:lang w:val="en-US" w:eastAsia="zh-CN"/>
              </w:rPr>
            </w:pPr>
            <w:r>
              <w:rPr>
                <w:rFonts w:hint="eastAsia" w:cs="Times New Roman"/>
                <w:szCs w:val="22"/>
                <w:lang w:val="en-US" w:eastAsia="zh-CN"/>
              </w:rPr>
              <w:t>内审不符合整改已完成。</w:t>
            </w:r>
          </w:p>
          <w:p>
            <w:pPr>
              <w:pStyle w:val="10"/>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持续改进</w:t>
            </w:r>
          </w:p>
        </w:tc>
        <w:tc>
          <w:tcPr>
            <w:tcW w:w="9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 xml:space="preserve">10.2 </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宋体"/>
                <w:szCs w:val="22"/>
                <w:lang w:eastAsia="zh-CN"/>
              </w:rPr>
            </w:pPr>
            <w:r>
              <w:rPr>
                <w:rFonts w:hint="eastAsia" w:ascii="Times New Roman" w:hAnsi="Times New Roman" w:eastAsia="宋体" w:cs="宋体"/>
                <w:szCs w:val="22"/>
                <w:lang w:eastAsia="zh-CN"/>
              </w:rPr>
              <w:t>为消除潜在的不符合，防止其再发生，公司应识别实施预防措施。公司须从下列来源中识别潜在的不符合：</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ascii="Times New Roman" w:hAnsi="Times New Roman" w:eastAsia="宋体" w:cs="宋体"/>
                <w:szCs w:val="22"/>
                <w:lang w:eastAsia="zh-CN"/>
              </w:rPr>
              <w:t>管理评审；测量与监控；数据分析；</w:t>
            </w:r>
            <w:r>
              <w:rPr>
                <w:rFonts w:hint="eastAsia" w:ascii="Times New Roman" w:hAnsi="Times New Roman" w:eastAsia="宋体" w:cs="宋体"/>
                <w:szCs w:val="22"/>
                <w:lang w:val="en-US" w:eastAsia="zh-CN"/>
              </w:rPr>
              <w:t>能源使用</w:t>
            </w:r>
            <w:r>
              <w:rPr>
                <w:rFonts w:hint="eastAsia" w:ascii="Times New Roman" w:hAnsi="Times New Roman" w:eastAsia="宋体" w:cs="宋体"/>
                <w:szCs w:val="22"/>
                <w:lang w:eastAsia="zh-CN"/>
              </w:rPr>
              <w:t>方面的相关方</w:t>
            </w:r>
            <w:r>
              <w:rPr>
                <w:rFonts w:hint="eastAsia" w:ascii="Times New Roman" w:hAnsi="Times New Roman" w:eastAsia="宋体" w:cs="宋体"/>
                <w:szCs w:val="22"/>
                <w:lang w:val="en-US" w:eastAsia="zh-CN"/>
              </w:rPr>
              <w:t>要求</w:t>
            </w:r>
            <w:r>
              <w:rPr>
                <w:rFonts w:hint="eastAsia" w:ascii="Times New Roman" w:hAnsi="Times New Roman" w:eastAsia="宋体" w:cs="宋体"/>
                <w:szCs w:val="22"/>
                <w:lang w:eastAsia="zh-CN"/>
              </w:rPr>
              <w:t>；明确职责传递潜在不符合信息；调查，分析，确认潜在不符合的原因；评估，制定与潜在不符合相适应的预防措施；实施所制定的预防措施，防止潜在不符合的发生；明确职责，跟踪验证，评审预防措施实施的有效性；记录预防措施的制定，实施和效果。</w:t>
            </w:r>
            <w:r>
              <w:rPr>
                <w:rFonts w:hint="eastAsia" w:cs="宋体"/>
              </w:rPr>
              <w:t>内容基本符合标准要求。</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pPr>
            <w:r>
              <w:rPr>
                <w:rFonts w:hint="eastAsia" w:cs="宋体"/>
              </w:rPr>
              <w:t>对日常工作检查，管理评审，内审，其他考评，合规性评价发现的不符合采取纠正，防止事态发展，进行原因分析，采取必要的纠正预防措施，防止事件的发生、再发生。</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cs="宋体"/>
              </w:rPr>
            </w:pPr>
            <w:r>
              <w:rPr>
                <w:rFonts w:hint="eastAsia" w:cs="宋体"/>
              </w:rPr>
              <w:t>对管理评审、内审提出的不符合及改进要求，进行原因分析，制定了具体措施，目前已实施完成。</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bl>
    <w:p>
      <w:pPr>
        <w:jc w:val="both"/>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受审核部门：河北孚领商品混凝土有限公司</w:t>
            </w:r>
            <w:r>
              <w:rPr>
                <w:rFonts w:hint="eastAsia"/>
                <w:sz w:val="24"/>
                <w:szCs w:val="24"/>
                <w:lang w:val="en-US" w:eastAsia="zh-CN"/>
              </w:rPr>
              <w:t>生产部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姜明阳</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丁维</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 xml:space="preserve">审核员：孔祥春 </w:t>
            </w:r>
            <w:r>
              <w:rPr>
                <w:rFonts w:hint="eastAsia"/>
                <w:sz w:val="24"/>
                <w:szCs w:val="24"/>
                <w:lang w:val="en-US" w:eastAsia="zh-CN"/>
              </w:rPr>
              <w:t>李丽英/</w:t>
            </w:r>
            <w:r>
              <w:rPr>
                <w:rFonts w:hint="eastAsia" w:ascii="宋体" w:hAnsi="宋体" w:eastAsia="宋体" w:cs="Times New Roman"/>
                <w:b/>
                <w:bCs/>
                <w:color w:val="0000FF"/>
                <w:spacing w:val="0"/>
                <w:kern w:val="2"/>
                <w:sz w:val="21"/>
                <w:szCs w:val="21"/>
                <w:u w:val="single"/>
                <w:lang w:val="en-US" w:eastAsia="zh-CN" w:bidi="ar-SA"/>
              </w:rPr>
              <w:t xml:space="preserve"> 孔祥春 李丽英</w:t>
            </w:r>
            <w:r>
              <w:rPr>
                <w:rFonts w:hint="eastAsia"/>
                <w:sz w:val="24"/>
                <w:szCs w:val="24"/>
                <w:lang w:val="en-US" w:eastAsia="zh-CN"/>
              </w:rPr>
              <w:t xml:space="preserve">    </w:t>
            </w:r>
            <w:r>
              <w:rPr>
                <w:rFonts w:hint="eastAsia"/>
                <w:sz w:val="24"/>
                <w:szCs w:val="24"/>
              </w:rPr>
              <w:t>审核时间：</w:t>
            </w:r>
            <w:r>
              <w:t>2021年11月12日</w:t>
            </w:r>
            <w:r>
              <w:rPr>
                <w:rFonts w:hint="eastAsia" w:ascii="宋体" w:hAnsi="宋体" w:eastAsia="宋体" w:cs="Times New Roman"/>
                <w:b/>
                <w:bCs/>
                <w:color w:val="0000FF"/>
                <w:spacing w:val="0"/>
                <w:kern w:val="2"/>
                <w:sz w:val="21"/>
                <w:szCs w:val="21"/>
                <w:u w:val="single"/>
                <w:lang w:val="en-US" w:eastAsia="zh-CN" w:bidi="ar-SA"/>
              </w:rPr>
              <w:t xml:space="preserve">/2022.1.3上午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eastAsia" w:eastAsia="宋体"/>
                <w:sz w:val="24"/>
                <w:szCs w:val="24"/>
                <w:lang w:val="en-US" w:eastAsia="zh-CN"/>
              </w:rPr>
            </w:pPr>
            <w:r>
              <w:rPr>
                <w:rFonts w:hint="eastAsia"/>
                <w:sz w:val="24"/>
                <w:szCs w:val="24"/>
              </w:rPr>
              <w:t>审核条款：</w:t>
            </w:r>
            <w:r>
              <w:rPr>
                <w:rFonts w:hint="eastAsia" w:ascii="宋体" w:hAnsi="宋体" w:eastAsia="宋体" w:cs="Times New Roman"/>
                <w:b/>
                <w:bCs/>
                <w:sz w:val="21"/>
                <w:szCs w:val="21"/>
              </w:rPr>
              <w:t>E</w:t>
            </w:r>
            <w:r>
              <w:rPr>
                <w:rFonts w:hint="eastAsia" w:ascii="宋体" w:hAnsi="宋体" w:eastAsia="宋体" w:cs="Times New Roman"/>
                <w:b/>
                <w:bCs/>
                <w:sz w:val="21"/>
                <w:szCs w:val="21"/>
                <w:lang w:val="en-US" w:eastAsia="zh-CN"/>
              </w:rPr>
              <w:t>n</w:t>
            </w:r>
            <w:r>
              <w:rPr>
                <w:rFonts w:hint="eastAsia" w:ascii="宋体" w:hAnsi="宋体" w:eastAsia="宋体" w:cs="Times New Roman"/>
                <w:b/>
                <w:bCs/>
                <w:sz w:val="21"/>
                <w:szCs w:val="21"/>
              </w:rPr>
              <w:t>MS:5.3</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6.2</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6.3</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6.4</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6.5</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6.6</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8.1</w:t>
            </w:r>
            <w:r>
              <w:rPr>
                <w:rFonts w:hint="eastAsia" w:ascii="宋体" w:hAnsi="宋体" w:eastAsia="宋体" w:cs="Times New Roman"/>
                <w:b/>
                <w:bCs/>
                <w:sz w:val="21"/>
                <w:szCs w:val="21"/>
                <w:lang w:val="en-US" w:eastAsia="zh-CN"/>
              </w:rPr>
              <w:t>/8.2/</w:t>
            </w:r>
            <w:r>
              <w:rPr>
                <w:rFonts w:hint="eastAsia" w:ascii="宋体" w:hAnsi="宋体" w:eastAsia="宋体" w:cs="Times New Roman"/>
                <w:b/>
                <w:bCs/>
                <w:sz w:val="21"/>
                <w:szCs w:val="21"/>
              </w:rPr>
              <w:t>9.1.1</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9.1.2</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10.1</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 xml:space="preserve">10.2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r>
              <w:rPr>
                <w:rFonts w:hint="eastAsia" w:ascii="宋体" w:hAnsi="宋体" w:eastAsia="宋体" w:cs="Times New Roman"/>
                <w:b/>
                <w:bCs/>
                <w:sz w:val="21"/>
                <w:szCs w:val="21"/>
              </w:rPr>
              <w:t>岗位、职责和权限</w:t>
            </w:r>
            <w:r>
              <w:rPr>
                <w:rFonts w:hint="eastAsia" w:ascii="宋体" w:hAnsi="宋体" w:cs="Times New Roman"/>
                <w:b/>
                <w:bCs/>
                <w:sz w:val="21"/>
                <w:szCs w:val="21"/>
                <w:lang w:eastAsia="zh-CN"/>
              </w:rPr>
              <w:t>；</w:t>
            </w:r>
          </w:p>
        </w:tc>
        <w:tc>
          <w:tcPr>
            <w:tcW w:w="960" w:type="dxa"/>
          </w:tcPr>
          <w:p>
            <w:r>
              <w:rPr>
                <w:rFonts w:hint="eastAsia" w:ascii="宋体" w:hAnsi="宋体" w:eastAsia="宋体" w:cs="Times New Roman"/>
                <w:b/>
                <w:bCs/>
                <w:sz w:val="21"/>
                <w:szCs w:val="21"/>
              </w:rPr>
              <w:t>5.3</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姜明阳介绍：生产部有30人，操作人员20人，管理人员10人。主要负责经营生产的全面工作，向顾客提供生产的合格产品。控制生产成本，负责业务培训指导和绩效考核。组织一次生产例会，每月对所管理的区域进行一次全面巡视，负责编制公司内部的工艺守则，对文件的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生产过程中出现的问题组织分析，提出改进建议，负责数据分析管理工作及纠正、预防措施的评审工作。负责能源评审报告的编制和能源基准、能源绩效参数、能源数据收集工作。</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公司及生产部的</w:t>
            </w:r>
            <w:r>
              <w:rPr>
                <w:rFonts w:hint="eastAsia" w:ascii="宋体" w:hAnsi="宋体" w:eastAsia="宋体" w:cs="Times New Roman"/>
                <w:b/>
                <w:bCs/>
                <w:sz w:val="21"/>
                <w:szCs w:val="21"/>
              </w:rPr>
              <w:t>能源目标、指</w:t>
            </w:r>
            <w:r>
              <w:rPr>
                <w:rFonts w:hint="eastAsia" w:ascii="宋体" w:hAnsi="宋体" w:eastAsia="宋体" w:cs="Times New Roman"/>
                <w:b/>
                <w:bCs/>
                <w:sz w:val="21"/>
                <w:szCs w:val="21"/>
                <w:lang w:val="en-US" w:eastAsia="zh-CN"/>
              </w:rPr>
              <w:t>标</w:t>
            </w:r>
            <w:r>
              <w:rPr>
                <w:rFonts w:hint="eastAsia" w:ascii="宋体" w:hAnsi="宋体" w:eastAsia="宋体" w:cs="Times New Roman"/>
                <w:b/>
                <w:bCs/>
                <w:sz w:val="21"/>
                <w:szCs w:val="21"/>
              </w:rPr>
              <w:t>及</w:t>
            </w:r>
            <w:r>
              <w:rPr>
                <w:rFonts w:hint="eastAsia" w:ascii="宋体" w:hAnsi="宋体" w:eastAsia="宋体" w:cs="Times New Roman"/>
                <w:b/>
                <w:bCs/>
                <w:sz w:val="21"/>
                <w:szCs w:val="21"/>
                <w:lang w:val="en-US" w:eastAsia="zh-CN"/>
              </w:rPr>
              <w:t>控制</w:t>
            </w:r>
          </w:p>
          <w:p>
            <w:r>
              <w:rPr>
                <w:rFonts w:hint="eastAsia" w:ascii="宋体" w:hAnsi="宋体" w:eastAsia="宋体" w:cs="Times New Roman"/>
                <w:b/>
                <w:bCs/>
                <w:sz w:val="21"/>
                <w:szCs w:val="21"/>
              </w:rPr>
              <w:t>能源评审</w:t>
            </w:r>
          </w:p>
        </w:tc>
        <w:tc>
          <w:tcPr>
            <w:tcW w:w="960" w:type="dxa"/>
          </w:tcPr>
          <w:p>
            <w:pPr>
              <w:rPr>
                <w:rFonts w:hint="eastAsia" w:eastAsia="宋体"/>
                <w:lang w:val="en-US" w:eastAsia="zh-CN"/>
              </w:rPr>
            </w:pPr>
            <w:r>
              <w:rPr>
                <w:rFonts w:hint="eastAsia" w:ascii="宋体" w:hAnsi="宋体" w:eastAsia="宋体" w:cs="Times New Roman"/>
                <w:b/>
                <w:bCs/>
                <w:sz w:val="21"/>
                <w:szCs w:val="21"/>
              </w:rPr>
              <w:t>6.2</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6.3</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公司编制了《能源评审管理程序》、《能源绩效参数、能源基准、能源目标控制程序》。对能源评审的要求、能源绩效参数的选定、制定能源基准的方法以及能源数据收集的要求进行了描述。</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lang w:val="en-US" w:eastAsia="zh-CN"/>
              </w:rPr>
              <w:t>提供2021年10月编制的能源评审报告，内容包括：编制说明，评审周期及范围、编制依据、能源评审方法、企业能源管理现状、能源消耗分析、主要用能设备、能源计量、能源输出评审等内容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color w:val="FF0000"/>
                <w:szCs w:val="22"/>
                <w:lang w:val="en-US" w:eastAsia="zh-CN"/>
              </w:rPr>
            </w:pPr>
            <w:r>
              <w:rPr>
                <w:rFonts w:hint="eastAsia" w:ascii="Times New Roman" w:hAnsi="Times New Roman" w:eastAsia="宋体" w:cs="Times New Roman"/>
                <w:color w:val="FF0000"/>
                <w:szCs w:val="22"/>
                <w:lang w:val="en-US" w:eastAsia="zh-CN"/>
              </w:rPr>
              <w:t>能源评审报告中未未对未来用能进行分析——不符合</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能源评审报告期为2021年4-9月，基准期：设计文件； 产品和活动范围：商品混凝土的生产所涉及的能源管理活动。</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评审报告范围包括：主要生产单位：生产部；辅助生产系统：质检组、采购组；职能部门：生产部、营销部、综合部、财务部</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能源种类、来源及使用：经统计分析，本公司主要消耗的能源分为两类：一是生产消耗能源种类为电力、自来水（新水）；二是运输消耗能源种类为柴油和少量汽油。（运输已外包）</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color w:val="00B0F0"/>
                <w:szCs w:val="22"/>
                <w:lang w:val="en-US" w:eastAsia="zh-CN"/>
              </w:rPr>
            </w:pPr>
            <w:r>
              <w:rPr>
                <w:rFonts w:hint="eastAsia" w:ascii="Times New Roman" w:hAnsi="Times New Roman" w:eastAsia="宋体" w:cs="Times New Roman"/>
                <w:color w:val="00B0F0"/>
                <w:szCs w:val="22"/>
                <w:lang w:val="en-US" w:eastAsia="zh-CN"/>
              </w:rPr>
              <w:t>但能源种类未考虑用能工质，如压缩风——问题项</w:t>
            </w:r>
            <w:r>
              <w:rPr>
                <w:rFonts w:hint="eastAsia" w:cs="Times New Roman"/>
                <w:color w:val="00B0F0"/>
                <w:szCs w:val="22"/>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企业能源目标完成情况：企业2021年3月份开始试生产，能源数据统计按照4月-9月份进行计算统计和分析的。2021年的目标参照GB/T36888-2018标准中的准入值制定，定为单位产品生产能耗≤0.7kgce/m3，根据企业4-9 月份实际生产数据统计，单位产品生产能耗累计值为0.3kgce/m3，达到了GB/T36888-2018标准中Ⅰ级水平，较好的完成了目标指标。</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color w:val="00B0F0"/>
                <w:szCs w:val="22"/>
                <w:lang w:val="en-US" w:eastAsia="zh-CN"/>
              </w:rPr>
            </w:pPr>
            <w:r>
              <w:rPr>
                <w:rFonts w:hint="eastAsia" w:ascii="Times New Roman" w:hAnsi="Times New Roman" w:eastAsia="宋体" w:cs="Times New Roman"/>
                <w:color w:val="00B0F0"/>
                <w:szCs w:val="22"/>
                <w:lang w:val="en-US" w:eastAsia="zh-CN"/>
              </w:rPr>
              <w:t>建议企业能源绩效参数</w:t>
            </w:r>
            <w:r>
              <w:rPr>
                <w:rFonts w:hint="eastAsia" w:cs="Times New Roman"/>
                <w:color w:val="00B0F0"/>
                <w:szCs w:val="22"/>
                <w:lang w:val="en-US" w:eastAsia="zh-CN"/>
              </w:rPr>
              <w:t>和指标</w:t>
            </w:r>
            <w:r>
              <w:rPr>
                <w:rFonts w:hint="eastAsia" w:ascii="Times New Roman" w:hAnsi="Times New Roman" w:eastAsia="宋体" w:cs="Times New Roman"/>
                <w:color w:val="00B0F0"/>
                <w:szCs w:val="22"/>
                <w:lang w:val="en-US" w:eastAsia="zh-CN"/>
              </w:rPr>
              <w:t>增加综合生产能耗——问题项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用能结构分析：企业能源使用区域是生产车间。车间的主要能耗过程有：原料的输送、混凝土搅拌站、空压机、下料机、连续化生产线等；办公室的主要能耗过程有：照明、空调、计算机。</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生产能源消耗占比：电消耗占87.95%，电使用为主要能源使用。其他未新鲜水和压缩风（压缩风按用电一次统计）；影响电耗的因素主要为设备效率。公司的用电设备主要包括：原料的输送、混凝土搅拌站、查箱式变电站、双卧轴搅拌机、三相异步电动机、连续化生产线、办公室的空调、计算机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能源评审报告分析了影响主要能源使用的相关变量，影响转动设备效率的相关变量通常有负荷、压力、电流、电压等；分析了与能源管理有关的人员等。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提供设备表：使用电力的设备最大功率为55KW，按照GB17167标准判断无主要耗能设备，但是建议企业对功率较大的设备如双卧轴搅拌机、三相异步电动机的运行效率实施关注，确保设备高效运行。</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绩效改进机会：由于公司刚开工不久，设计时考虑先进的生产工艺，目前未发现节能改进的机会。目前着手抓好装置生产平稳运行，提高产量，降低能源消耗。在今后的运行中若存在改进机会，将按照下表要求进行改进。</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
            <w:pPr>
              <w:rPr>
                <w:rFonts w:hint="eastAsia"/>
                <w:lang w:val="en-US" w:eastAsia="zh-CN"/>
              </w:rPr>
            </w:pPr>
          </w:p>
          <w:p>
            <w:pPr>
              <w:rPr>
                <w:rFonts w:hint="eastAsia"/>
                <w:lang w:val="en-US" w:eastAsia="zh-CN"/>
              </w:rPr>
            </w:pPr>
          </w:p>
          <w:p>
            <w:pPr>
              <w:rPr>
                <w:rFonts w:hint="default"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能源绩效参数</w:t>
            </w:r>
            <w:r>
              <w:rPr>
                <w:rFonts w:hint="eastAsia" w:ascii="宋体" w:hAnsi="宋体" w:eastAsia="宋体" w:cs="Times New Roman"/>
                <w:b/>
                <w:bCs/>
                <w:sz w:val="21"/>
                <w:szCs w:val="21"/>
                <w:lang w:eastAsia="zh-CN"/>
              </w:rPr>
              <w:t>；</w:t>
            </w:r>
            <w:r>
              <w:rPr>
                <w:rFonts w:hint="eastAsia" w:ascii="宋体" w:hAnsi="宋体" w:eastAsia="宋体" w:cs="Times New Roman"/>
                <w:b/>
                <w:bCs/>
                <w:sz w:val="21"/>
                <w:szCs w:val="21"/>
              </w:rPr>
              <w:t>能源基准</w:t>
            </w:r>
            <w:r>
              <w:rPr>
                <w:rFonts w:hint="eastAsia" w:ascii="宋体" w:hAnsi="宋体" w:eastAsia="宋体" w:cs="Times New Roman"/>
                <w:b/>
                <w:bCs/>
                <w:sz w:val="21"/>
                <w:szCs w:val="21"/>
                <w:lang w:eastAsia="zh-CN"/>
              </w:rPr>
              <w:t>；</w:t>
            </w:r>
            <w:r>
              <w:rPr>
                <w:rFonts w:hint="eastAsia" w:ascii="宋体" w:hAnsi="宋体" w:eastAsia="宋体" w:cs="Times New Roman"/>
                <w:b/>
                <w:bCs/>
                <w:sz w:val="21"/>
                <w:szCs w:val="21"/>
              </w:rPr>
              <w:t xml:space="preserve"> 采集能源数据的策划</w:t>
            </w:r>
            <w:r>
              <w:rPr>
                <w:rFonts w:hint="eastAsia" w:ascii="宋体" w:hAnsi="宋体" w:eastAsia="宋体" w:cs="Times New Roman"/>
                <w:b/>
                <w:bCs/>
                <w:sz w:val="21"/>
                <w:szCs w:val="21"/>
                <w:lang w:eastAsia="zh-CN"/>
              </w:rPr>
              <w:t>；</w:t>
            </w:r>
          </w:p>
        </w:tc>
        <w:tc>
          <w:tcPr>
            <w:tcW w:w="9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6.4</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6.5</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6.6</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公司的能源绩效参数选定：单位产品生产耗能kgce/m</w:t>
            </w:r>
            <w:r>
              <w:rPr>
                <w:rFonts w:hint="eastAsia" w:ascii="Times New Roman" w:hAnsi="Times New Roman" w:eastAsia="宋体" w:cs="Times New Roman"/>
                <w:szCs w:val="22"/>
                <w:vertAlign w:val="superscript"/>
                <w:lang w:val="en-US" w:eastAsia="zh-CN"/>
              </w:rPr>
              <w:t>3</w:t>
            </w:r>
          </w:p>
          <w:p>
            <w:pPr>
              <w:pStyle w:val="3"/>
              <w:pageBreakBefore w:val="0"/>
              <w:widowControl w:val="0"/>
              <w:kinsoku/>
              <w:wordWrap/>
              <w:overflowPunct/>
              <w:topLinePunct w:val="0"/>
              <w:autoSpaceDE/>
              <w:autoSpaceDN/>
              <w:bidi w:val="0"/>
              <w:adjustRightInd/>
              <w:snapToGrid/>
              <w:spacing w:before="157" w:beforeLines="50" w:line="240" w:lineRule="auto"/>
              <w:ind w:left="0" w:leftChars="0" w:firstLine="0" w:firstLineChars="0"/>
              <w:textAlignment w:val="auto"/>
              <w:rPr>
                <w:rFonts w:hint="eastAsia" w:ascii="Times New Roman" w:hAnsi="Times New Roman" w:eastAsia="宋体" w:cs="Times New Roman"/>
                <w:b w:val="0"/>
                <w:bCs w:val="0"/>
                <w:kern w:val="2"/>
                <w:sz w:val="21"/>
                <w:szCs w:val="22"/>
                <w:highlight w:val="magenta"/>
                <w:vertAlign w:val="superscript"/>
                <w:lang w:val="en-US" w:eastAsia="zh-CN" w:bidi="ar-SA"/>
              </w:rPr>
            </w:pPr>
            <w:r>
              <w:rPr>
                <w:rFonts w:hint="eastAsia" w:ascii="Times New Roman" w:hAnsi="Times New Roman" w:eastAsia="宋体" w:cs="Times New Roman"/>
                <w:b w:val="0"/>
                <w:bCs w:val="0"/>
                <w:kern w:val="2"/>
                <w:sz w:val="21"/>
                <w:szCs w:val="22"/>
                <w:lang w:val="en-US" w:eastAsia="zh-CN" w:bidi="ar-SA"/>
              </w:rPr>
              <w:t>能源基</w:t>
            </w:r>
            <w:r>
              <w:rPr>
                <w:rFonts w:hint="eastAsia" w:ascii="Times New Roman" w:hAnsi="Times New Roman" w:eastAsia="宋体" w:cs="Times New Roman"/>
                <w:b w:val="0"/>
                <w:bCs w:val="0"/>
                <w:kern w:val="2"/>
                <w:sz w:val="21"/>
                <w:szCs w:val="22"/>
                <w:highlight w:val="none"/>
                <w:lang w:val="en-US" w:eastAsia="zh-CN" w:bidi="ar-SA"/>
              </w:rPr>
              <w:t>准以GB/T36888-2018标准</w:t>
            </w:r>
            <w:r>
              <w:rPr>
                <w:rFonts w:hint="eastAsia" w:ascii="宋体" w:hAnsi="宋体" w:eastAsia="宋体" w:cs="宋体"/>
                <w:b w:val="0"/>
                <w:bCs w:val="0"/>
                <w:kern w:val="2"/>
                <w:sz w:val="21"/>
                <w:szCs w:val="22"/>
                <w:highlight w:val="none"/>
                <w:lang w:val="en-US" w:eastAsia="zh-CN" w:bidi="ar-SA"/>
              </w:rPr>
              <w:t>Ⅱ</w:t>
            </w:r>
            <w:r>
              <w:rPr>
                <w:rFonts w:hint="eastAsia" w:ascii="Times New Roman" w:hAnsi="Times New Roman" w:eastAsia="宋体" w:cs="Times New Roman"/>
                <w:b w:val="0"/>
                <w:bCs w:val="0"/>
                <w:kern w:val="2"/>
                <w:sz w:val="21"/>
                <w:szCs w:val="22"/>
                <w:highlight w:val="none"/>
                <w:lang w:val="en-US" w:eastAsia="zh-CN" w:bidi="ar-SA"/>
              </w:rPr>
              <w:t>级为参照基准值为0.</w:t>
            </w:r>
            <w:r>
              <w:rPr>
                <w:rFonts w:hint="eastAsia" w:ascii="Times New Roman" w:hAnsi="Times New Roman" w:cs="Times New Roman"/>
                <w:b w:val="0"/>
                <w:bCs w:val="0"/>
                <w:kern w:val="2"/>
                <w:sz w:val="21"/>
                <w:szCs w:val="22"/>
                <w:highlight w:val="none"/>
                <w:lang w:val="en-US" w:eastAsia="zh-CN" w:bidi="ar-SA"/>
              </w:rPr>
              <w:t>7</w:t>
            </w:r>
            <w:r>
              <w:rPr>
                <w:rFonts w:hint="eastAsia" w:ascii="Times New Roman" w:hAnsi="Times New Roman" w:eastAsia="宋体" w:cs="Times New Roman"/>
                <w:b w:val="0"/>
                <w:bCs w:val="0"/>
                <w:kern w:val="2"/>
                <w:sz w:val="21"/>
                <w:szCs w:val="22"/>
                <w:highlight w:val="none"/>
                <w:lang w:val="en-US" w:eastAsia="zh-CN" w:bidi="ar-SA"/>
              </w:rPr>
              <w:t>kgce/m</w:t>
            </w:r>
            <w:r>
              <w:rPr>
                <w:rFonts w:hint="eastAsia" w:ascii="Times New Roman" w:hAnsi="Times New Roman" w:eastAsia="宋体" w:cs="Times New Roman"/>
                <w:b w:val="0"/>
                <w:bCs w:val="0"/>
                <w:kern w:val="2"/>
                <w:sz w:val="21"/>
                <w:szCs w:val="22"/>
                <w:highlight w:val="none"/>
                <w:vertAlign w:val="superscript"/>
                <w:lang w:val="en-US" w:eastAsia="zh-CN" w:bidi="ar-SA"/>
              </w:rPr>
              <w:t>3</w:t>
            </w:r>
          </w:p>
          <w:p>
            <w:pPr>
              <w:pageBreakBefore w:val="0"/>
              <w:widowControl w:val="0"/>
              <w:kinsoku/>
              <w:wordWrap/>
              <w:overflowPunct/>
              <w:topLinePunct w:val="0"/>
              <w:autoSpaceDE/>
              <w:autoSpaceDN/>
              <w:bidi w:val="0"/>
              <w:adjustRightInd/>
              <w:snapToGrid/>
              <w:spacing w:before="157" w:beforeLines="50" w:line="240" w:lineRule="auto"/>
              <w:textAlignment w:val="auto"/>
              <w:rPr>
                <w:rFonts w:hint="eastAsia"/>
                <w:lang w:val="en-US" w:eastAsia="zh-CN"/>
              </w:rPr>
            </w:pPr>
            <w:r>
              <w:rPr>
                <w:rFonts w:hint="eastAsia"/>
                <w:lang w:val="en-US" w:eastAsia="zh-CN"/>
              </w:rPr>
              <w:t>建议企业在未来制定能源绩效参数和能源基准时考虑生产综合能耗。</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能源数据的收集策划在程序文件中进行了描述，实际数据统计中数据收集主要以电、水为手机对象，收集频次每月收集一次。</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企业能源计量包括电和水，未提供用能单位的电表和水表的检定报告，据企业介绍，电表和水表的检定有提供方（甲方）负责。建议企业关注能源计量的检定。</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color w:val="00B0F0"/>
                <w:szCs w:val="22"/>
                <w:lang w:val="en-US" w:eastAsia="zh-CN"/>
              </w:rPr>
            </w:pPr>
            <w:r>
              <w:rPr>
                <w:rFonts w:hint="eastAsia" w:ascii="Times New Roman" w:hAnsi="Times New Roman" w:eastAsia="宋体" w:cs="Times New Roman"/>
                <w:color w:val="00B0F0"/>
                <w:szCs w:val="22"/>
                <w:lang w:val="en-US" w:eastAsia="zh-CN"/>
              </w:rPr>
              <w:t>建议增加计量生产过程的电表——问题项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color w:val="0000FF"/>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rPr>
              <w:t>运行的策划和控制</w:t>
            </w:r>
          </w:p>
        </w:tc>
        <w:tc>
          <w:tcPr>
            <w:tcW w:w="9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rPr>
              <w:t>8.1</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lang w:val="en-US" w:eastAsia="zh-CN"/>
              </w:rPr>
              <w:t xml:space="preserve"> 公司策划、实施和控制满足产品和服务要求所需的过程，确定生产过程中的能源能管理要求并建立适当的准则予以控制。考虑过程控制、法律法规要求以及相关方的期望等条件。</w:t>
            </w:r>
          </w:p>
          <w:p>
            <w:pPr>
              <w:pStyle w:val="4"/>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eastAsia"/>
                <w:lang w:val="en-US" w:eastAsia="zh-CN"/>
              </w:rPr>
            </w:pPr>
            <w:r>
              <w:rPr>
                <w:rFonts w:hint="eastAsia"/>
                <w:lang w:val="en-US" w:eastAsia="zh-CN"/>
              </w:rPr>
              <w:t xml:space="preserve"> 抽查企业编制了《能资源管理制度》明确加强能源管理，合理利用能源，杜绝浪费，降低能耗，提高公司的经济效益的控制措施，并监督检查执行。</w:t>
            </w:r>
          </w:p>
          <w:p>
            <w:pPr>
              <w:pStyle w:val="4"/>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eastAsia"/>
                <w:lang w:val="en-US" w:eastAsia="zh-CN"/>
              </w:rPr>
            </w:pPr>
            <w:r>
              <w:rPr>
                <w:rFonts w:hint="eastAsia"/>
                <w:lang w:val="en-US" w:eastAsia="zh-CN"/>
              </w:rPr>
              <w:t>抽查：生产现场检查记录，内容包括：消防、环保、安全、节能、设备保养等，查看2021年3-10月份的检查情况，满足要求。</w:t>
            </w:r>
          </w:p>
          <w:p>
            <w:pPr>
              <w:pStyle w:val="4"/>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eastAsia"/>
                <w:lang w:val="en-US" w:eastAsia="zh-CN"/>
              </w:rPr>
            </w:pPr>
            <w:r>
              <w:rPr>
                <w:rFonts w:hint="eastAsia"/>
                <w:lang w:val="en-US" w:eastAsia="zh-CN"/>
              </w:rPr>
              <w:t>倒班</w:t>
            </w:r>
            <w:r>
              <w:rPr>
                <w:rFonts w:hint="default"/>
                <w:lang w:val="en-US" w:eastAsia="zh-CN"/>
              </w:rPr>
              <w:t>顺序。早8点——晚8点——（1班）晚8点到早8点（2班）一周轮换一次</w:t>
            </w:r>
            <w:r>
              <w:rPr>
                <w:rFonts w:hint="eastAsia"/>
                <w:lang w:val="en-US" w:eastAsia="zh-CN"/>
              </w:rPr>
              <w:t>。</w:t>
            </w:r>
          </w:p>
          <w:p>
            <w:pPr>
              <w:pStyle w:val="4"/>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default"/>
                <w:lang w:val="en-US" w:eastAsia="zh-CN"/>
              </w:rPr>
            </w:pPr>
            <w:r>
              <w:rPr>
                <w:rFonts w:hint="eastAsia"/>
                <w:lang w:val="en-US" w:eastAsia="zh-CN"/>
              </w:rPr>
              <w:t>查看其企业不同班次的生产记录，10月9日白班和10日夜班的操作日志，记录齐全</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drawing>
                <wp:inline distT="0" distB="0" distL="114300" distR="114300">
                  <wp:extent cx="2182495" cy="2153920"/>
                  <wp:effectExtent l="0" t="0" r="1905"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2182495" cy="2153920"/>
                          </a:xfrm>
                          <a:prstGeom prst="rect">
                            <a:avLst/>
                          </a:prstGeom>
                          <a:noFill/>
                          <a:ln>
                            <a:noFill/>
                          </a:ln>
                        </pic:spPr>
                      </pic:pic>
                    </a:graphicData>
                  </a:graphic>
                </wp:inline>
              </w:drawing>
            </w:r>
            <w:r>
              <w:rPr>
                <w:rFonts w:hint="eastAsia"/>
                <w:lang w:val="en-US" w:eastAsia="zh-CN"/>
              </w:rPr>
              <w:t xml:space="preserve">操作日志 </w:t>
            </w:r>
            <w:r>
              <w:drawing>
                <wp:inline distT="0" distB="0" distL="114300" distR="114300">
                  <wp:extent cx="2210435" cy="2148205"/>
                  <wp:effectExtent l="0" t="0" r="12065" b="1079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2210435" cy="2148205"/>
                          </a:xfrm>
                          <a:prstGeom prst="rect">
                            <a:avLst/>
                          </a:prstGeom>
                          <a:noFill/>
                          <a:ln>
                            <a:noFill/>
                          </a:ln>
                        </pic:spPr>
                      </pic:pic>
                    </a:graphicData>
                  </a:graphic>
                </wp:inline>
              </w:drawing>
            </w:r>
            <w:r>
              <w:rPr>
                <w:rFonts w:hint="eastAsia"/>
                <w:lang w:val="en-US" w:eastAsia="zh-CN"/>
              </w:rPr>
              <w:t>产品出厂控制记录</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lang w:val="en-US" w:eastAsia="zh-CN"/>
              </w:rPr>
            </w:pPr>
            <w:r>
              <w:rPr>
                <w:rFonts w:hint="eastAsia"/>
                <w:lang w:val="en-US" w:eastAsia="zh-CN"/>
              </w:rPr>
              <w:t xml:space="preserve">    </w:t>
            </w:r>
            <w:r>
              <w:drawing>
                <wp:inline distT="0" distB="0" distL="114300" distR="114300">
                  <wp:extent cx="1833880" cy="2055495"/>
                  <wp:effectExtent l="0" t="0" r="7620" b="190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tretch>
                            <a:fillRect/>
                          </a:stretch>
                        </pic:blipFill>
                        <pic:spPr>
                          <a:xfrm>
                            <a:off x="0" y="0"/>
                            <a:ext cx="1833880" cy="20554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33600" cy="2075180"/>
                  <wp:effectExtent l="0" t="0" r="0" b="762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1"/>
                          <a:stretch>
                            <a:fillRect/>
                          </a:stretch>
                        </pic:blipFill>
                        <pic:spPr>
                          <a:xfrm>
                            <a:off x="0" y="0"/>
                            <a:ext cx="2133600" cy="2075180"/>
                          </a:xfrm>
                          <a:prstGeom prst="rect">
                            <a:avLst/>
                          </a:prstGeom>
                          <a:noFill/>
                          <a:ln>
                            <a:noFill/>
                          </a:ln>
                        </pic:spPr>
                      </pic:pic>
                    </a:graphicData>
                  </a:graphic>
                </wp:inline>
              </w:drawing>
            </w:r>
            <w:r>
              <w:rPr>
                <w:rFonts w:hint="eastAsia"/>
                <w:lang w:val="en-US" w:eastAsia="zh-CN"/>
              </w:rPr>
              <w:t>不同班次的操作日志</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抽查产品出厂控制记录，符合要求。</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本次现场抽查生产运行情况：</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2022年1月3日当天班班长：王恒才，班内人员：5人（3个三生产人员，2个质检人员）</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提供当天的生产情况：抽查2022.1.3混凝土配合比申请单：</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工程名称及部位：保定市主城区城中村改造张庄、周庄村安置区地块二  4#素混凝土桩，</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委托单位：中冶集团武汉勘察研究院有限公司</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设计强度等级：C30冬施等内容</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抽查2022.1.3混凝土配合比通知单：内容：略</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 xml:space="preserve">批准：张国兴，审核：李海波，试验：孙硕， </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试验单位：河北孚领商品混凝土有限公司试验室，报告日期2022.1.3</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抽查“矿渣粉检测报告”工程名称：预拌混凝土，试验编号：2021K-0050</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取样日期：2021.12.23，报告日期2021.12.31</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检验项目：7d活性指数%；28d活性指数%、流动度比%、密度、含水率%、比表面积、其他等</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检测结论：依据GB/T18046-2017标准，所检项目符合S95标准要求。</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抽查“水泥检测报告”工程名称：预拌混凝土，试验编号：2022SN-00001</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取样日期：2021.12.29，报告日期2022.1.1</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检验项目：比表面积m2/kg；标稠用水量%、胶砂流动度mm、密度g/cm3、强度检验等</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检测结论：依据GB175-2007中P</w:t>
            </w:r>
            <w:r>
              <w:rPr>
                <w:rFonts w:hint="eastAsia" w:ascii="宋体" w:hAnsi="宋体" w:eastAsia="宋体" w:cs="宋体"/>
                <w:b/>
                <w:bCs/>
                <w:color w:val="0000FF"/>
                <w:spacing w:val="0"/>
                <w:kern w:val="2"/>
                <w:sz w:val="21"/>
                <w:szCs w:val="21"/>
                <w:u w:val="single"/>
                <w:lang w:val="en-US" w:eastAsia="zh-CN" w:bidi="ar-SA"/>
              </w:rPr>
              <w:t>·</w:t>
            </w:r>
            <w:r>
              <w:rPr>
                <w:rFonts w:hint="eastAsia" w:ascii="宋体" w:hAnsi="宋体" w:eastAsia="宋体" w:cs="Times New Roman"/>
                <w:b/>
                <w:bCs/>
                <w:color w:val="0000FF"/>
                <w:spacing w:val="0"/>
                <w:kern w:val="2"/>
                <w:sz w:val="21"/>
                <w:szCs w:val="21"/>
                <w:u w:val="single"/>
                <w:lang w:val="en-US" w:eastAsia="zh-CN" w:bidi="ar-SA"/>
              </w:rPr>
              <w:t>042.5水泥标准要求。</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 xml:space="preserve">技术负责人：张国兴，审核：李海波，试验：孙硕，张继业 </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抽查“粉煤灰试验报告”工程名称：预拌混凝土，试验编号：2021F-00049</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取样日期：2021.12.30，报告日期2022.1.1</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检验项目：细度（0.045mm方孔筛的筛余）（%）不大于、烧失量（%）不大于、需水量（%）不大于、三氧化硫（%）不大于、含水率（%）不大于、其他等</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检测结论：所检项目符合GB1596-2017中</w:t>
            </w:r>
            <w:r>
              <w:rPr>
                <w:rFonts w:hint="eastAsia" w:ascii="宋体" w:hAnsi="宋体" w:eastAsia="宋体" w:cs="宋体"/>
                <w:b/>
                <w:bCs/>
                <w:color w:val="0000FF"/>
                <w:spacing w:val="0"/>
                <w:kern w:val="2"/>
                <w:sz w:val="21"/>
                <w:szCs w:val="21"/>
                <w:u w:val="single"/>
                <w:lang w:val="en-US" w:eastAsia="zh-CN" w:bidi="ar-SA"/>
              </w:rPr>
              <w:t>Ⅱ</w:t>
            </w:r>
            <w:r>
              <w:rPr>
                <w:rFonts w:hint="eastAsia" w:ascii="宋体" w:hAnsi="宋体" w:eastAsia="宋体" w:cs="宋体"/>
                <w:b/>
                <w:bCs/>
                <w:color w:val="0000FF"/>
                <w:spacing w:val="0"/>
                <w:kern w:val="2"/>
                <w:sz w:val="21"/>
                <w:szCs w:val="21"/>
                <w:u w:val="single"/>
                <w:lang w:val="en-US" w:eastAsia="zh-CN" w:bidi="ar-SA"/>
              </w:rPr>
              <w:t>级F类粉煤灰指标要求</w:t>
            </w:r>
            <w:r>
              <w:rPr>
                <w:rFonts w:hint="eastAsia" w:ascii="宋体" w:hAnsi="宋体" w:eastAsia="宋体" w:cs="Times New Roman"/>
                <w:b/>
                <w:bCs/>
                <w:color w:val="0000FF"/>
                <w:spacing w:val="0"/>
                <w:kern w:val="2"/>
                <w:sz w:val="21"/>
                <w:szCs w:val="21"/>
                <w:u w:val="single"/>
                <w:lang w:val="en-US" w:eastAsia="zh-CN" w:bidi="ar-SA"/>
              </w:rPr>
              <w:t>。</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 xml:space="preserve">技术负责人：张国兴，审核：李海波，试验：孙硕，张继业 </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抽查“砂试验报告”工程名称：预拌混凝土，试验编号：2021S-00117</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取样日期：2021.12.30，报告日期2022.1.2</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检验项目：表观密度kg/m2、堆积密度kg/m2、含泥量（%）、泥块含量（%）、硫化物含量（%）、轻物质含量（%）、孔隙率（%）等</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检测结论：所检项目符合J5J52-2006中</w:t>
            </w:r>
            <w:r>
              <w:rPr>
                <w:rFonts w:hint="eastAsia" w:ascii="宋体" w:hAnsi="宋体" w:eastAsia="宋体" w:cs="宋体"/>
                <w:b/>
                <w:bCs/>
                <w:color w:val="0000FF"/>
                <w:spacing w:val="0"/>
                <w:kern w:val="2"/>
                <w:sz w:val="21"/>
                <w:szCs w:val="21"/>
                <w:u w:val="single"/>
                <w:lang w:val="en-US" w:eastAsia="zh-CN" w:bidi="ar-SA"/>
              </w:rPr>
              <w:t>Ⅱ区中砂指标要求</w:t>
            </w:r>
            <w:r>
              <w:rPr>
                <w:rFonts w:hint="eastAsia" w:ascii="宋体" w:hAnsi="宋体" w:eastAsia="宋体" w:cs="Times New Roman"/>
                <w:b/>
                <w:bCs/>
                <w:color w:val="0000FF"/>
                <w:spacing w:val="0"/>
                <w:kern w:val="2"/>
                <w:sz w:val="21"/>
                <w:szCs w:val="21"/>
                <w:u w:val="single"/>
                <w:lang w:val="en-US" w:eastAsia="zh-CN" w:bidi="ar-SA"/>
              </w:rPr>
              <w:t>。</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 xml:space="preserve">技术负责人：张国兴，审核：李海波，试验：孙硕，张继业 </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抽查“外加剂试验报告”工程名称：预拌混凝土，试验编号：2021A-00045</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取样日期：2021.12.30，报告日期2022.1.2</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highlight w:val="none"/>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检验项目：</w:t>
            </w:r>
            <w:r>
              <w:rPr>
                <w:rFonts w:hint="eastAsia" w:ascii="宋体" w:hAnsi="宋体" w:eastAsia="宋体" w:cs="Times New Roman"/>
                <w:b/>
                <w:bCs/>
                <w:color w:val="0000FF"/>
                <w:spacing w:val="0"/>
                <w:kern w:val="2"/>
                <w:sz w:val="21"/>
                <w:szCs w:val="21"/>
                <w:highlight w:val="none"/>
                <w:u w:val="single"/>
                <w:lang w:val="en-US" w:eastAsia="zh-CN" w:bidi="ar-SA"/>
              </w:rPr>
              <w:t>PH值、减水率、坍落度1H经时变化量、密度（g/cm3）、含气量、含固量等</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highlight w:val="none"/>
                <w:u w:val="single"/>
                <w:lang w:val="en-US" w:eastAsia="zh-CN" w:bidi="ar-SA"/>
              </w:rPr>
            </w:pPr>
            <w:r>
              <w:rPr>
                <w:rFonts w:hint="eastAsia" w:ascii="宋体" w:hAnsi="宋体" w:eastAsia="宋体" w:cs="Times New Roman"/>
                <w:b/>
                <w:bCs/>
                <w:color w:val="0000FF"/>
                <w:spacing w:val="0"/>
                <w:kern w:val="2"/>
                <w:sz w:val="21"/>
                <w:szCs w:val="21"/>
                <w:highlight w:val="none"/>
                <w:u w:val="single"/>
                <w:lang w:val="en-US" w:eastAsia="zh-CN" w:bidi="ar-SA"/>
              </w:rPr>
              <w:t>检测结论：所检项目符合JC475-2004中</w:t>
            </w:r>
            <w:r>
              <w:rPr>
                <w:rFonts w:hint="eastAsia" w:ascii="宋体" w:hAnsi="宋体" w:eastAsia="宋体" w:cs="宋体"/>
                <w:b/>
                <w:bCs/>
                <w:color w:val="0000FF"/>
                <w:spacing w:val="0"/>
                <w:kern w:val="2"/>
                <w:sz w:val="21"/>
                <w:szCs w:val="21"/>
                <w:highlight w:val="none"/>
                <w:u w:val="single"/>
                <w:lang w:val="en-US" w:eastAsia="zh-CN" w:bidi="ar-SA"/>
              </w:rPr>
              <w:t>指标要求</w:t>
            </w:r>
            <w:r>
              <w:rPr>
                <w:rFonts w:hint="eastAsia" w:ascii="宋体" w:hAnsi="宋体" w:eastAsia="宋体" w:cs="Times New Roman"/>
                <w:b/>
                <w:bCs/>
                <w:color w:val="0000FF"/>
                <w:spacing w:val="0"/>
                <w:kern w:val="2"/>
                <w:sz w:val="21"/>
                <w:szCs w:val="21"/>
                <w:highlight w:val="none"/>
                <w:u w:val="single"/>
                <w:lang w:val="en-US" w:eastAsia="zh-CN" w:bidi="ar-SA"/>
              </w:rPr>
              <w:t>。</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 xml:space="preserve">技术负责人：张国兴，审核：李海波，试验：孙硕，张继业 </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宋体" w:hAnsi="宋体" w:eastAsia="宋体" w:cs="Times New Roman"/>
                <w:b/>
                <w:bCs/>
                <w:color w:val="0000FF"/>
                <w:spacing w:val="0"/>
                <w:kern w:val="2"/>
                <w:sz w:val="21"/>
                <w:szCs w:val="21"/>
                <w:u w:val="single"/>
                <w:lang w:val="en-US" w:eastAsia="zh-CN" w:bidi="ar-SA"/>
              </w:rPr>
            </w:pPr>
            <w:r>
              <w:rPr>
                <w:rFonts w:hint="eastAsia" w:ascii="宋体" w:hAnsi="宋体" w:eastAsia="宋体" w:cs="Times New Roman"/>
                <w:b/>
                <w:bCs/>
                <w:color w:val="0000FF"/>
                <w:spacing w:val="0"/>
                <w:kern w:val="2"/>
                <w:sz w:val="21"/>
                <w:szCs w:val="21"/>
                <w:u w:val="single"/>
                <w:lang w:val="en-US" w:eastAsia="zh-CN" w:bidi="ar-SA"/>
              </w:rPr>
              <w:t>现场巡视：设备正常运行，用能设备主要有混凝土搅拌机、电机、变压机、产品运输车辆（外包）等</w:t>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pPr>
            <w:r>
              <w:drawing>
                <wp:inline distT="0" distB="0" distL="114300" distR="114300">
                  <wp:extent cx="2006600" cy="1657350"/>
                  <wp:effectExtent l="0" t="0" r="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2006600" cy="16573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733800" cy="1697355"/>
                  <wp:effectExtent l="0" t="0" r="0"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3733800" cy="1697355"/>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eastAsia="宋体"/>
                <w:lang w:val="en-US" w:eastAsia="zh-CN"/>
              </w:rPr>
            </w:pPr>
            <w:r>
              <w:drawing>
                <wp:inline distT="0" distB="0" distL="114300" distR="114300">
                  <wp:extent cx="1951990" cy="1599565"/>
                  <wp:effectExtent l="0" t="0" r="3810"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1951990" cy="15995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16405" cy="1605280"/>
                  <wp:effectExtent l="0" t="0" r="10795"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1716405" cy="16052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46605" cy="1624330"/>
                  <wp:effectExtent l="0" t="0" r="10795" b="12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6"/>
                          <a:stretch>
                            <a:fillRect/>
                          </a:stretch>
                        </pic:blipFill>
                        <pic:spPr>
                          <a:xfrm>
                            <a:off x="0" y="0"/>
                            <a:ext cx="2046605" cy="1624330"/>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eastAsia="宋体"/>
                <w:lang w:val="en-US" w:eastAsia="zh-CN"/>
              </w:rPr>
            </w:pPr>
            <w:r>
              <w:drawing>
                <wp:inline distT="0" distB="0" distL="114300" distR="114300">
                  <wp:extent cx="2151380" cy="1372870"/>
                  <wp:effectExtent l="0" t="0" r="762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2151380" cy="13728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58950" cy="1374140"/>
                  <wp:effectExtent l="0" t="0" r="6350" b="101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8"/>
                          <a:stretch>
                            <a:fillRect/>
                          </a:stretch>
                        </pic:blipFill>
                        <pic:spPr>
                          <a:xfrm>
                            <a:off x="0" y="0"/>
                            <a:ext cx="1758950" cy="13741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80160" cy="1379220"/>
                  <wp:effectExtent l="0" t="0" r="2540" b="50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9"/>
                          <a:stretch>
                            <a:fillRect/>
                          </a:stretch>
                        </pic:blipFill>
                        <pic:spPr>
                          <a:xfrm>
                            <a:off x="0" y="0"/>
                            <a:ext cx="1280160" cy="1379220"/>
                          </a:xfrm>
                          <a:prstGeom prst="rect">
                            <a:avLst/>
                          </a:prstGeom>
                          <a:noFill/>
                          <a:ln>
                            <a:noFill/>
                          </a:ln>
                        </pic:spPr>
                      </pic:pic>
                    </a:graphicData>
                  </a:graphic>
                </wp:inline>
              </w:drawing>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lang w:val="en-US" w:eastAsia="zh-CN"/>
              </w:rPr>
              <w:t>设计过程对能源使用及消耗的策划和控制</w:t>
            </w:r>
          </w:p>
        </w:tc>
        <w:tc>
          <w:tcPr>
            <w:tcW w:w="9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lang w:val="en-US" w:eastAsia="zh-CN"/>
              </w:rPr>
              <w:t>8.2</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公司比较重视能源管理，在生产过程中与相关技术方案合作，采用节能设备降低电消耗。抽查节能合同，签订时间2021年7月，甲方：保定慧君新能源科技有限公司，签订内容，乙方按基本电费进行支付，每月37280，乙方每月节约的费用双方按照6:4提取。</w:t>
            </w:r>
          </w:p>
          <w:p>
            <w:pPr>
              <w:pStyle w:val="10"/>
            </w:pPr>
            <w:r>
              <w:drawing>
                <wp:inline distT="0" distB="0" distL="114300" distR="114300">
                  <wp:extent cx="1937385" cy="1602105"/>
                  <wp:effectExtent l="0" t="0" r="5715" b="1079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0"/>
                          <a:stretch>
                            <a:fillRect/>
                          </a:stretch>
                        </pic:blipFill>
                        <pic:spPr>
                          <a:xfrm>
                            <a:off x="0" y="0"/>
                            <a:ext cx="1937385" cy="16021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5785" cy="1607820"/>
                  <wp:effectExtent l="0" t="0" r="5715" b="508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1"/>
                          <a:stretch>
                            <a:fillRect/>
                          </a:stretch>
                        </pic:blipFill>
                        <pic:spPr>
                          <a:xfrm>
                            <a:off x="0" y="0"/>
                            <a:ext cx="1835785" cy="16078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eastAsia="宋体"/>
                <w:lang w:val="en-US" w:eastAsia="zh-CN"/>
              </w:rPr>
            </w:pPr>
            <w:r>
              <w:rPr>
                <w:rFonts w:hint="eastAsia" w:ascii="Times New Roman" w:hAnsi="Times New Roman" w:eastAsia="宋体" w:cs="Times New Roman"/>
                <w:bCs w:val="0"/>
                <w:spacing w:val="0"/>
                <w:kern w:val="2"/>
                <w:sz w:val="21"/>
                <w:szCs w:val="22"/>
                <w:lang w:val="en-US" w:eastAsia="zh-CN" w:bidi="ar-SA"/>
              </w:rPr>
              <w:t>企业新装置开工时间不长，技改技措项目目前没有，待以后运行后期关注技术开发或设计是的能源消耗情况。</w:t>
            </w: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能源绩效和能源管理体系的监视、测量、分析和评价</w:t>
            </w:r>
          </w:p>
        </w:tc>
        <w:tc>
          <w:tcPr>
            <w:tcW w:w="9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 xml:space="preserve">9.1.1 </w:t>
            </w:r>
          </w:p>
        </w:tc>
        <w:tc>
          <w:tcPr>
            <w:tcW w:w="10004" w:type="dxa"/>
          </w:tcPr>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能源管理体系的绩效测量见综合部的审核记录。</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主要耗能设备的能效测试目前未开展，鉴于企业刚开工，设备新，工艺先进，建议随着装置运行设备老化等条件的出现，企业应关注用能设备的运行效率。</w:t>
            </w:r>
          </w:p>
          <w:p>
            <w:pPr>
              <w:pageBreakBefore w:val="0"/>
              <w:widowControl w:val="0"/>
              <w:kinsoku/>
              <w:wordWrap/>
              <w:overflowPunct/>
              <w:topLinePunct w:val="0"/>
              <w:autoSpaceDE/>
              <w:autoSpaceDN/>
              <w:bidi w:val="0"/>
              <w:adjustRightInd/>
              <w:snapToGrid/>
              <w:spacing w:before="157" w:beforeLines="50" w:line="240" w:lineRule="auto"/>
              <w:textAlignment w:val="auto"/>
              <w:rPr>
                <w:rFonts w:hint="default"/>
                <w:lang w:val="en-US" w:eastAsia="zh-CN"/>
              </w:rPr>
            </w:pPr>
            <w:r>
              <w:rPr>
                <w:rFonts w:hint="eastAsia"/>
                <w:lang w:val="en-US" w:eastAsia="zh-CN"/>
              </w:rPr>
              <w:t>企业目前无淘汰落后设备，业务落后生产工艺。提醒企业关注淘汰落后设备的核查，关注国家有关法律法规的要求，确保企业的合规运行。</w:t>
            </w:r>
          </w:p>
          <w:p>
            <w:pPr>
              <w:pageBreakBefore w:val="0"/>
              <w:widowControl w:val="0"/>
              <w:kinsoku/>
              <w:wordWrap/>
              <w:overflowPunct/>
              <w:topLinePunct w:val="0"/>
              <w:autoSpaceDE/>
              <w:autoSpaceDN/>
              <w:bidi w:val="0"/>
              <w:adjustRightInd/>
              <w:snapToGrid/>
              <w:spacing w:before="157" w:beforeLines="50" w:line="240" w:lineRule="auto"/>
              <w:textAlignment w:val="auto"/>
              <w:rPr>
                <w:rFonts w:hint="default"/>
                <w:lang w:val="en-US" w:eastAsia="zh-CN"/>
              </w:rPr>
            </w:pPr>
            <w:r>
              <w:rPr>
                <w:rFonts w:hint="eastAsia"/>
                <w:lang w:val="en-US" w:eastAsia="zh-CN"/>
              </w:rPr>
              <w:t>绩效能耗指标见6.2条款审核。</w:t>
            </w: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不符合与纠正措施</w:t>
            </w:r>
          </w:p>
        </w:tc>
        <w:tc>
          <w:tcPr>
            <w:tcW w:w="9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 xml:space="preserve">10.1 </w:t>
            </w:r>
          </w:p>
        </w:tc>
        <w:tc>
          <w:tcPr>
            <w:tcW w:w="10004" w:type="dxa"/>
          </w:tcPr>
          <w:p>
            <w:pPr>
              <w:rPr>
                <w:rFonts w:hint="default" w:eastAsia="宋体"/>
                <w:lang w:val="en-US" w:eastAsia="zh-CN"/>
              </w:rPr>
            </w:pPr>
            <w:r>
              <w:rPr>
                <w:rFonts w:hint="eastAsia"/>
                <w:lang w:val="en-US" w:eastAsia="zh-CN"/>
              </w:rPr>
              <w:t>内审发现的不符合已纠正，日常检查中的问题已整改。</w:t>
            </w: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bl>
    <w:p>
      <w:pPr>
        <w:jc w:val="both"/>
        <w:rPr>
          <w:rFonts w:hint="eastAsia"/>
        </w:rPr>
      </w:pPr>
      <w:r>
        <w:rPr>
          <w:rFonts w:hint="eastAsia"/>
        </w:rPr>
        <w:t>说明：不符合标注N</w:t>
      </w:r>
    </w:p>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sz w:val="24"/>
                <w:szCs w:val="24"/>
              </w:rPr>
            </w:pPr>
            <w:r>
              <w:rPr>
                <w:rFonts w:hint="eastAsia"/>
                <w:sz w:val="24"/>
                <w:szCs w:val="24"/>
              </w:rPr>
              <w:t>受审核部门：河北孚领商品混凝土有限公司</w:t>
            </w:r>
            <w:r>
              <w:rPr>
                <w:rFonts w:hint="eastAsia"/>
                <w:sz w:val="24"/>
                <w:szCs w:val="24"/>
                <w:lang w:val="en-US" w:eastAsia="zh-CN"/>
              </w:rPr>
              <w:t xml:space="preserve"> 业务部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沈祎仁</w:t>
            </w:r>
            <w:r>
              <w:rPr>
                <w:sz w:val="24"/>
                <w:szCs w:val="24"/>
              </w:rPr>
              <w:t xml:space="preserve"> </w:t>
            </w:r>
            <w:r>
              <w:rPr>
                <w:rFonts w:hint="eastAsia"/>
                <w:sz w:val="24"/>
                <w:szCs w:val="24"/>
              </w:rPr>
              <w:t>陪同人员：</w:t>
            </w:r>
            <w:r>
              <w:rPr>
                <w:rFonts w:hint="eastAsia"/>
                <w:sz w:val="24"/>
                <w:szCs w:val="24"/>
                <w:lang w:val="en-US" w:eastAsia="zh-CN"/>
              </w:rPr>
              <w:t>何明明</w:t>
            </w:r>
          </w:p>
        </w:tc>
        <w:tc>
          <w:tcPr>
            <w:tcW w:w="1585" w:type="dxa"/>
            <w:vMerge w:val="restart"/>
            <w:vAlign w:val="center"/>
          </w:tcPr>
          <w:p>
            <w:pPr>
              <w:jc w:val="cente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default" w:eastAsia="宋体"/>
                <w:lang w:val="en-US" w:eastAsia="zh-CN"/>
              </w:rPr>
            </w:pPr>
            <w:r>
              <w:rPr>
                <w:rFonts w:hint="eastAsia"/>
                <w:sz w:val="24"/>
                <w:szCs w:val="24"/>
              </w:rPr>
              <w:t xml:space="preserve">审核员：王宁敏 </w:t>
            </w:r>
            <w:r>
              <w:rPr>
                <w:rFonts w:hint="eastAsia"/>
                <w:sz w:val="24"/>
                <w:szCs w:val="24"/>
                <w:lang w:val="en-US" w:eastAsia="zh-CN"/>
              </w:rPr>
              <w:t>/</w:t>
            </w:r>
            <w:r>
              <w:rPr>
                <w:rFonts w:hint="eastAsia" w:ascii="宋体" w:hAnsi="宋体" w:eastAsia="宋体" w:cs="Times New Roman"/>
                <w:b/>
                <w:bCs/>
                <w:color w:val="0000FF"/>
                <w:spacing w:val="0"/>
                <w:kern w:val="2"/>
                <w:sz w:val="21"/>
                <w:szCs w:val="21"/>
                <w:u w:val="single"/>
                <w:lang w:val="en-US" w:eastAsia="zh-CN" w:bidi="ar-SA"/>
              </w:rPr>
              <w:t xml:space="preserve">孔祥春 李丽英 </w:t>
            </w:r>
            <w:r>
              <w:rPr>
                <w:sz w:val="24"/>
                <w:szCs w:val="24"/>
              </w:rPr>
              <w:t xml:space="preserve">    </w:t>
            </w:r>
            <w:r>
              <w:rPr>
                <w:rFonts w:hint="eastAsia"/>
                <w:sz w:val="24"/>
                <w:szCs w:val="24"/>
              </w:rPr>
              <w:t>审核时间：</w:t>
            </w:r>
            <w:r>
              <w:rPr>
                <w:rFonts w:hint="eastAsia" w:ascii="Times New Roman" w:hAnsi="Times New Roman" w:eastAsia="宋体" w:cs="Times New Roman"/>
                <w:sz w:val="24"/>
                <w:szCs w:val="24"/>
              </w:rPr>
              <w:t>2021年11月1</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日 8:00-12:00</w:t>
            </w:r>
            <w:r>
              <w:rPr>
                <w:rFonts w:hint="eastAsia" w:cs="Times New Roman"/>
                <w:sz w:val="24"/>
                <w:szCs w:val="24"/>
                <w:lang w:val="en-US" w:eastAsia="zh-CN"/>
              </w:rPr>
              <w:t>/</w:t>
            </w:r>
            <w:r>
              <w:rPr>
                <w:rFonts w:hint="eastAsia" w:ascii="宋体" w:hAnsi="宋体" w:eastAsia="宋体" w:cs="Times New Roman"/>
                <w:b/>
                <w:bCs/>
                <w:color w:val="0000FF"/>
                <w:spacing w:val="0"/>
                <w:kern w:val="2"/>
                <w:sz w:val="21"/>
                <w:szCs w:val="21"/>
                <w:u w:val="single"/>
                <w:lang w:val="en-US" w:eastAsia="zh-CN" w:bidi="ar-SA"/>
              </w:rPr>
              <w:t>2022.1.3上午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sz w:val="24"/>
                <w:szCs w:val="24"/>
                <w:lang w:eastAsia="zh-CN"/>
              </w:rPr>
            </w:pPr>
            <w:r>
              <w:rPr>
                <w:rFonts w:hint="eastAsia"/>
                <w:sz w:val="24"/>
                <w:szCs w:val="24"/>
              </w:rPr>
              <w:t>审核条款：</w:t>
            </w:r>
            <w:r>
              <w:rPr>
                <w:rFonts w:hint="eastAsia" w:ascii="Times New Roman" w:hAnsi="Times New Roman" w:eastAsia="宋体" w:cs="Times New Roman"/>
                <w:sz w:val="24"/>
                <w:szCs w:val="24"/>
              </w:rPr>
              <w:t>5.3 营销部的岗位、职责和权限；6.2 目标、能源指标及完成情况；8.1 运行控制</w:t>
            </w:r>
            <w:r>
              <w:rPr>
                <w:rFonts w:hint="eastAsia" w:ascii="Times New Roman" w:hAnsi="Times New Roman" w:eastAsia="宋体" w:cs="Times New Roman"/>
                <w:sz w:val="24"/>
                <w:szCs w:val="24"/>
                <w:lang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160" w:type="dxa"/>
          </w:tcPr>
          <w:p>
            <w:r>
              <w:rPr>
                <w:rFonts w:hint="eastAsia" w:ascii="Times New Roman" w:hAnsi="Times New Roman" w:eastAsia="宋体" w:cs="Times New Roman"/>
                <w:sz w:val="24"/>
                <w:szCs w:val="24"/>
              </w:rPr>
              <w:t>营销部的岗位、职责和权限</w:t>
            </w:r>
          </w:p>
        </w:tc>
        <w:tc>
          <w:tcPr>
            <w:tcW w:w="960" w:type="dxa"/>
          </w:tcPr>
          <w:p>
            <w:r>
              <w:rPr>
                <w:rFonts w:hint="eastAsia" w:ascii="Times New Roman" w:hAnsi="Times New Roman" w:eastAsia="宋体" w:cs="Times New Roman"/>
                <w:sz w:val="24"/>
                <w:szCs w:val="24"/>
              </w:rPr>
              <w:t>5.3</w:t>
            </w:r>
          </w:p>
        </w:tc>
        <w:tc>
          <w:tcPr>
            <w:tcW w:w="10004" w:type="dxa"/>
            <w:vAlign w:val="top"/>
          </w:tcPr>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业务部：主管领导 沈祎仁，共2人，岗位设置：一个业务，一个内勤。</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岗位职责</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a．做好客户沟通和生产工作，建立客服制度；</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b．负责接收客户的订单、合同，仔细核对订单合同的内容，做好合同评审工作；</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c. 负责在接收客户的反馈信息，包括投诉和抱怨等，并及时将相关信息传达到有关部门，做好记录，并及时将相关措施反馈给客户；</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d．负责做好客户满意度调查、统计的方案，并予以执行；</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e. 负责资金回笼工作；</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f. 负责本部门的业务培训工作；</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g. 在工作过程中接收到或发现有新的或修改的法律、法规及其他要求时负责将信息传递到归口管理部门；</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h. 负责对公司产品销售进行控制，施加环境/安全影响，宣传公司的环境/安全方针；</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任职要求：</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高中以上学历；有4年以上实践经验；有组织协调能力。</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岗位设置：经理、销售管理、合同管理、客户管理、仓库管理，负责与顾客的开发，合同/订单的评审、变更实施及产品的交付，完成上级领导交办的其他任务。</w:t>
            </w: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ascii="Times New Roman" w:hAnsi="Times New Roman" w:eastAsia="宋体" w:cs="Times New Roman"/>
                <w:sz w:val="24"/>
                <w:szCs w:val="24"/>
              </w:rPr>
              <w:t>目标、能源指标及完成情况</w:t>
            </w:r>
          </w:p>
        </w:tc>
        <w:tc>
          <w:tcPr>
            <w:tcW w:w="960" w:type="dxa"/>
          </w:tcPr>
          <w:p>
            <w:r>
              <w:rPr>
                <w:rFonts w:hint="eastAsia" w:ascii="Times New Roman" w:hAnsi="Times New Roman" w:eastAsia="宋体" w:cs="Times New Roman"/>
                <w:sz w:val="24"/>
                <w:szCs w:val="24"/>
              </w:rPr>
              <w:t>6.2</w:t>
            </w:r>
          </w:p>
        </w:tc>
        <w:tc>
          <w:tcPr>
            <w:tcW w:w="10004" w:type="dxa"/>
            <w:vAlign w:val="top"/>
          </w:tcPr>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提供业务部能源管理目标</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1）合同履约率100%，月考核；</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2）顾客满意率≥90分，年考核；</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3）顾客反馈及投诉处理率100%，月考核；</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4）单位产品运输能耗≤2.9kgce/m</w:t>
            </w:r>
            <w:r>
              <w:rPr>
                <w:rFonts w:hint="eastAsia" w:ascii="Times New Roman" w:hAnsi="Times New Roman" w:cs="Times New Roman"/>
                <w:szCs w:val="22"/>
                <w:vertAlign w:val="superscript"/>
                <w:lang w:val="en-US" w:eastAsia="zh-CN"/>
              </w:rPr>
              <w:t>3</w:t>
            </w:r>
            <w:r>
              <w:rPr>
                <w:rFonts w:hint="eastAsia" w:ascii="Times New Roman" w:hAnsi="Times New Roman" w:cs="Times New Roman"/>
                <w:szCs w:val="22"/>
                <w:vertAlign w:val="baseline"/>
                <w:lang w:val="en-US" w:eastAsia="zh-CN"/>
              </w:rPr>
              <w:t>（该项业务外包业务部仅起到监督作用）</w:t>
            </w:r>
            <w:r>
              <w:rPr>
                <w:rFonts w:hint="eastAsia" w:ascii="Times New Roman" w:hAnsi="Times New Roman" w:cs="Times New Roman"/>
                <w:szCs w:val="22"/>
                <w:lang w:val="en-US" w:eastAsia="zh-CN"/>
              </w:rPr>
              <w:t>。</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 xml:space="preserve">   查阅2020年度以及2021年1-10月目标分解及统计方法记录，业务部基本完成目标指标，产品销售管理全部完成。</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ascii="Times New Roman" w:hAnsi="Times New Roman" w:eastAsia="宋体" w:cs="Times New Roman"/>
                <w:sz w:val="24"/>
                <w:szCs w:val="24"/>
              </w:rPr>
              <w:t>运行控制</w:t>
            </w:r>
          </w:p>
        </w:tc>
        <w:tc>
          <w:tcPr>
            <w:tcW w:w="960" w:type="dxa"/>
          </w:tcPr>
          <w:p>
            <w:r>
              <w:rPr>
                <w:rFonts w:hint="eastAsia" w:ascii="Times New Roman" w:hAnsi="Times New Roman" w:eastAsia="宋体" w:cs="Times New Roman"/>
                <w:sz w:val="24"/>
                <w:szCs w:val="24"/>
              </w:rPr>
              <w:t xml:space="preserve">8.1 </w:t>
            </w:r>
          </w:p>
        </w:tc>
        <w:tc>
          <w:tcPr>
            <w:tcW w:w="10004" w:type="dxa"/>
            <w:vAlign w:val="top"/>
          </w:tcPr>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1、提供制度清单：《销售管理制度》，含：第一节 总则，第二节 产品销售管理的任务，第三节 市场开拓与销售渠道，第四节 产品和劳务定价，第五节 产品销售业务工作，第六节 营销谈判，第七节 培训销售人员，共三十四条；《能资源管理制度》、《与顾客有关过程控制程序FL-CX-005-2020》、《客户投诉控制程序FL-CX-011-2020》、《运行控制程序FL-CX-020-2020》。</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2、提供近几月销售合同（含能源销售）：</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 xml:space="preserve">  抽1，徐水区预拌商品混凝土供应合同，甲方：保定市政工程建设有限公司，有质量标准，签订时间：2021-9-28，共十一项内容。</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kern w:val="2"/>
                <w:sz w:val="21"/>
                <w:lang w:val="en-US" w:eastAsia="zh-CN" w:bidi="ar-SA"/>
              </w:rPr>
            </w:pPr>
            <w:r>
              <w:rPr>
                <w:rFonts w:hint="eastAsia" w:ascii="Times New Roman" w:hAnsi="Times New Roman" w:cs="Times New Roman"/>
                <w:szCs w:val="22"/>
                <w:lang w:val="en-US" w:eastAsia="zh-CN"/>
              </w:rPr>
              <w:t xml:space="preserve">  抽2，甲方：渤海基建工程有限公司，有质量标准。签订时间：2021-6-2，共十项内容。</w:t>
            </w:r>
            <w:r>
              <w:rPr>
                <w:rFonts w:hint="eastAsia" w:ascii="Times New Roman" w:hAnsi="Times New Roman" w:cs="Times New Roman"/>
                <w:szCs w:val="22"/>
                <w:lang w:val="en-US" w:eastAsia="zh-CN"/>
              </w:rPr>
              <w:br w:type="textWrapping"/>
            </w:r>
            <w:r>
              <w:rPr>
                <w:rFonts w:hint="eastAsia" w:ascii="Times New Roman" w:hAnsi="Times New Roman" w:cs="Times New Roman"/>
                <w:szCs w:val="22"/>
                <w:lang w:val="en-US" w:eastAsia="zh-CN"/>
              </w:rPr>
              <w:t xml:space="preserve">      合同签订句按照《销售管理制度》执行。</w:t>
            </w: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585" w:type="dxa"/>
          </w:tcPr>
          <w:p>
            <w:pPr>
              <w:rPr>
                <w:rFonts w:hint="eastAsia" w:eastAsia="宋体"/>
                <w:lang w:val="en-US" w:eastAsia="zh-CN"/>
              </w:rPr>
            </w:pPr>
            <w:r>
              <w:rPr>
                <w:rFonts w:hint="eastAsia"/>
                <w:lang w:val="en-US" w:eastAsia="zh-CN"/>
              </w:rPr>
              <w:t>y</w:t>
            </w:r>
          </w:p>
        </w:tc>
      </w:tr>
    </w:tbl>
    <w:p>
      <w:pPr>
        <w:pStyle w:val="6"/>
        <w:rPr>
          <w:rFonts w:hint="eastAsia" w:ascii="隶书" w:hAnsi="宋体" w:eastAsia="隶书"/>
          <w:bCs/>
          <w:color w:val="000000"/>
          <w:sz w:val="36"/>
          <w:szCs w:val="36"/>
        </w:rPr>
      </w:pPr>
      <w:r>
        <w:rPr>
          <w:rFonts w:hint="eastAsia"/>
        </w:rPr>
        <w:t>说明：不符合标注N</w:t>
      </w:r>
    </w:p>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012"/>
        <w:gridCol w:w="11026"/>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49" w:type="dxa"/>
            <w:vMerge w:val="restar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sz w:val="24"/>
                <w:szCs w:val="24"/>
              </w:rPr>
            </w:pPr>
            <w:r>
              <w:rPr>
                <w:rFonts w:hint="eastAsia"/>
                <w:sz w:val="24"/>
                <w:szCs w:val="24"/>
              </w:rPr>
              <w:t>过程与活动、</w:t>
            </w:r>
          </w:p>
          <w:p>
            <w:pPr>
              <w:keepNext w:val="0"/>
              <w:keepLines w:val="0"/>
              <w:pageBreakBefore w:val="0"/>
              <w:widowControl w:val="0"/>
              <w:kinsoku/>
              <w:wordWrap/>
              <w:overflowPunct/>
              <w:topLinePunct w:val="0"/>
              <w:autoSpaceDE/>
              <w:autoSpaceDN/>
              <w:bidi w:val="0"/>
              <w:adjustRightInd/>
              <w:snapToGrid/>
              <w:spacing w:after="0"/>
              <w:jc w:val="center"/>
              <w:textAlignment w:val="auto"/>
            </w:pPr>
            <w:r>
              <w:rPr>
                <w:rFonts w:hint="eastAsia"/>
                <w:sz w:val="24"/>
                <w:szCs w:val="24"/>
              </w:rPr>
              <w:t>抽样计划</w:t>
            </w:r>
          </w:p>
        </w:tc>
        <w:tc>
          <w:tcPr>
            <w:tcW w:w="1012" w:type="dxa"/>
            <w:vMerge w:val="restar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sz w:val="24"/>
                <w:szCs w:val="24"/>
              </w:rPr>
            </w:pPr>
            <w:r>
              <w:rPr>
                <w:rFonts w:hint="eastAsia"/>
                <w:sz w:val="24"/>
                <w:szCs w:val="24"/>
              </w:rPr>
              <w:t>涉及</w:t>
            </w:r>
          </w:p>
          <w:p>
            <w:pPr>
              <w:keepNext w:val="0"/>
              <w:keepLines w:val="0"/>
              <w:pageBreakBefore w:val="0"/>
              <w:widowControl w:val="0"/>
              <w:kinsoku/>
              <w:wordWrap/>
              <w:overflowPunct/>
              <w:topLinePunct w:val="0"/>
              <w:autoSpaceDE/>
              <w:autoSpaceDN/>
              <w:bidi w:val="0"/>
              <w:adjustRightInd/>
              <w:snapToGrid/>
              <w:spacing w:after="0"/>
              <w:jc w:val="center"/>
              <w:textAlignment w:val="auto"/>
            </w:pPr>
            <w:r>
              <w:rPr>
                <w:rFonts w:hint="eastAsia"/>
                <w:sz w:val="24"/>
                <w:szCs w:val="24"/>
              </w:rPr>
              <w:t>条款</w:t>
            </w:r>
          </w:p>
        </w:tc>
        <w:tc>
          <w:tcPr>
            <w:tcW w:w="11026"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default" w:eastAsia="宋体"/>
                <w:sz w:val="24"/>
                <w:szCs w:val="24"/>
                <w:lang w:val="en-US" w:eastAsia="zh-CN"/>
              </w:rPr>
            </w:pPr>
            <w:r>
              <w:rPr>
                <w:rFonts w:hint="eastAsia"/>
                <w:sz w:val="24"/>
                <w:szCs w:val="24"/>
              </w:rPr>
              <w:t>受审核部门：河北孚领商品混凝土有限公司</w:t>
            </w:r>
            <w:r>
              <w:rPr>
                <w:rFonts w:hint="eastAsia"/>
                <w:sz w:val="24"/>
                <w:szCs w:val="24"/>
                <w:lang w:val="en-US" w:eastAsia="zh-CN"/>
              </w:rPr>
              <w:t xml:space="preserve"> 财务部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肖梦</w:t>
            </w:r>
            <w:r>
              <w:rPr>
                <w:sz w:val="24"/>
                <w:szCs w:val="24"/>
              </w:rPr>
              <w:t xml:space="preserve">   </w:t>
            </w:r>
            <w:r>
              <w:rPr>
                <w:rFonts w:hint="eastAsia"/>
                <w:sz w:val="24"/>
                <w:szCs w:val="24"/>
              </w:rPr>
              <w:t>陪同人员：</w:t>
            </w:r>
            <w:r>
              <w:rPr>
                <w:rFonts w:hint="eastAsia"/>
                <w:sz w:val="24"/>
                <w:szCs w:val="24"/>
                <w:lang w:val="en-US" w:eastAsia="zh-CN"/>
              </w:rPr>
              <w:t>何明明</w:t>
            </w:r>
          </w:p>
        </w:tc>
        <w:tc>
          <w:tcPr>
            <w:tcW w:w="1347" w:type="dxa"/>
            <w:vMerge w:val="restart"/>
            <w:vAlign w:val="center"/>
          </w:tcPr>
          <w:p>
            <w:pPr>
              <w:jc w:val="cente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549" w:type="dxa"/>
            <w:vMerge w:val="continue"/>
            <w:vAlign w:val="center"/>
          </w:tcPr>
          <w:p/>
        </w:tc>
        <w:tc>
          <w:tcPr>
            <w:tcW w:w="1012" w:type="dxa"/>
            <w:vMerge w:val="continue"/>
            <w:vAlign w:val="center"/>
          </w:tcPr>
          <w:p/>
        </w:tc>
        <w:tc>
          <w:tcPr>
            <w:tcW w:w="11026"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pPr>
            <w:r>
              <w:rPr>
                <w:rFonts w:hint="eastAsia"/>
                <w:sz w:val="24"/>
                <w:szCs w:val="24"/>
              </w:rPr>
              <w:t xml:space="preserve">审核员：王宁敏 </w:t>
            </w:r>
            <w:r>
              <w:rPr>
                <w:rFonts w:hint="eastAsia"/>
                <w:sz w:val="24"/>
                <w:szCs w:val="24"/>
                <w:lang w:val="en-US" w:eastAsia="zh-CN"/>
              </w:rPr>
              <w:t>/</w:t>
            </w:r>
            <w:r>
              <w:rPr>
                <w:rFonts w:hint="eastAsia" w:ascii="宋体" w:hAnsi="宋体" w:eastAsia="宋体" w:cs="Times New Roman"/>
                <w:b/>
                <w:bCs/>
                <w:color w:val="0000FF"/>
                <w:spacing w:val="0"/>
                <w:kern w:val="2"/>
                <w:sz w:val="21"/>
                <w:szCs w:val="21"/>
                <w:u w:val="single"/>
                <w:lang w:val="en-US" w:eastAsia="zh-CN" w:bidi="ar-SA"/>
              </w:rPr>
              <w:t xml:space="preserve">孔祥春 李丽英 </w:t>
            </w:r>
            <w:r>
              <w:rPr>
                <w:sz w:val="24"/>
                <w:szCs w:val="24"/>
              </w:rPr>
              <w:t xml:space="preserve">    </w:t>
            </w:r>
            <w:r>
              <w:rPr>
                <w:rFonts w:hint="eastAsia"/>
                <w:sz w:val="24"/>
                <w:szCs w:val="24"/>
              </w:rPr>
              <w:t xml:space="preserve">  审核时间：2021年11月1</w:t>
            </w:r>
            <w:r>
              <w:rPr>
                <w:rFonts w:hint="eastAsia"/>
                <w:sz w:val="24"/>
                <w:szCs w:val="24"/>
                <w:lang w:val="en-US" w:eastAsia="zh-CN"/>
              </w:rPr>
              <w:t>2</w:t>
            </w:r>
            <w:r>
              <w:rPr>
                <w:rFonts w:hint="eastAsia"/>
                <w:sz w:val="24"/>
                <w:szCs w:val="24"/>
              </w:rPr>
              <w:t xml:space="preserve">日 </w:t>
            </w:r>
            <w:r>
              <w:rPr>
                <w:rFonts w:hint="eastAsia"/>
                <w:sz w:val="24"/>
                <w:szCs w:val="24"/>
                <w:lang w:val="en-US" w:eastAsia="zh-CN"/>
              </w:rPr>
              <w:t>13:00-16:00</w:t>
            </w:r>
            <w:r>
              <w:rPr>
                <w:rFonts w:hint="eastAsia" w:cs="Times New Roman"/>
                <w:sz w:val="24"/>
                <w:szCs w:val="24"/>
                <w:lang w:val="en-US" w:eastAsia="zh-CN"/>
              </w:rPr>
              <w:t>/</w:t>
            </w:r>
            <w:r>
              <w:rPr>
                <w:rFonts w:hint="eastAsia" w:ascii="宋体" w:hAnsi="宋体" w:eastAsia="宋体" w:cs="Times New Roman"/>
                <w:b/>
                <w:bCs/>
                <w:color w:val="0000FF"/>
                <w:spacing w:val="0"/>
                <w:kern w:val="2"/>
                <w:sz w:val="21"/>
                <w:szCs w:val="21"/>
                <w:u w:val="single"/>
                <w:lang w:val="en-US" w:eastAsia="zh-CN" w:bidi="ar-SA"/>
              </w:rPr>
              <w:t>2022.1.3上午</w:t>
            </w:r>
          </w:p>
        </w:tc>
        <w:tc>
          <w:tcPr>
            <w:tcW w:w="134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9" w:type="dxa"/>
            <w:vMerge w:val="continue"/>
            <w:vAlign w:val="center"/>
          </w:tcPr>
          <w:p/>
        </w:tc>
        <w:tc>
          <w:tcPr>
            <w:tcW w:w="1012" w:type="dxa"/>
            <w:vMerge w:val="continue"/>
            <w:vAlign w:val="center"/>
          </w:tcPr>
          <w:p/>
        </w:tc>
        <w:tc>
          <w:tcPr>
            <w:tcW w:w="11026"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sz w:val="24"/>
                <w:szCs w:val="24"/>
                <w:lang w:eastAsia="zh-CN"/>
              </w:rPr>
            </w:pPr>
            <w:r>
              <w:rPr>
                <w:rFonts w:hint="eastAsia"/>
                <w:sz w:val="24"/>
                <w:szCs w:val="24"/>
              </w:rPr>
              <w:t>审核条款：</w:t>
            </w:r>
            <w:r>
              <w:rPr>
                <w:rFonts w:hint="eastAsia" w:ascii="Times New Roman" w:hAnsi="Times New Roman" w:eastAsia="宋体" w:cs="Times New Roman"/>
                <w:b w:val="0"/>
                <w:bCs w:val="0"/>
                <w:kern w:val="2"/>
                <w:sz w:val="21"/>
                <w:szCs w:val="22"/>
                <w:lang w:val="en-US" w:eastAsia="zh-CN" w:bidi="ar-SA"/>
              </w:rPr>
              <w:t>5.3岗位、职责和权限；6.2 能源指标完成情况；8.1 运行控制。</w:t>
            </w:r>
          </w:p>
        </w:tc>
        <w:tc>
          <w:tcPr>
            <w:tcW w:w="134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9"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岗位、职责和权限</w:t>
            </w:r>
          </w:p>
        </w:tc>
        <w:tc>
          <w:tcPr>
            <w:tcW w:w="1012" w:type="dxa"/>
          </w:tcPr>
          <w:p>
            <w:r>
              <w:rPr>
                <w:rFonts w:hint="eastAsia"/>
                <w:sz w:val="24"/>
                <w:szCs w:val="24"/>
              </w:rPr>
              <w:t>5.3</w:t>
            </w:r>
          </w:p>
        </w:tc>
        <w:tc>
          <w:tcPr>
            <w:tcW w:w="11026" w:type="dxa"/>
          </w:tcPr>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财务部：领导 肖梦，共2人，岗位设置：一个会计，一个出纳。</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岗位职责</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一、财务部职责范围</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1、认真贯彻执行国家有关财务管理的法律法规，确保财务工作的合法性。</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2、建立健全公司各种财务管理制度，严格按照财务工作程序执行。</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3、采取切实有效的措施保证公司资金和财产的安全，维护公司的合法权益。</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4、编制和执行财务收支计划，督促有关部门加强资金回流，确保资金的有效供应。</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5、进行成本、费用核算、考核和控制，督促有关部门降低消耗、节约费用，提高经济效益。</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6、建立健全各种财务帐目，编制财务报表。</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7、参与公司工程承包合同和采购合同的评审工作。</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8、及时核算和上缴各种税金。</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9、参与业务项目结算，参与采供部与材料供应商结算。</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10、会计档案资料的收集、整理，确保档案资料的完整、安全、有效。</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11、完成公司工作程序规定的其他工作，完成领导布置的其他任务。</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12、加强本部门人员的培训，提高本部门工作人员素质。</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二、借款和各种费用开支标准及审批制度。</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任职要求：</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1. 高中以上学历；</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2. 有2年以上相关实践经验，精通财务知识。</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出示相关规定：包括——借款审批及标准、财务部岗位职责、财务基础工作规范等。</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default" w:eastAsia="宋体"/>
                <w:lang w:val="en-US" w:eastAsia="zh-CN"/>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34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549"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能源指</w:t>
            </w:r>
            <w:r>
              <w:rPr>
                <w:rFonts w:hint="eastAsia" w:ascii="宋体" w:hAnsi="宋体" w:eastAsia="宋体" w:cs="Times New Roman"/>
                <w:b/>
                <w:bCs/>
                <w:sz w:val="21"/>
                <w:szCs w:val="21"/>
                <w:lang w:val="en-US" w:eastAsia="zh-CN"/>
              </w:rPr>
              <w:t>标完成情况</w:t>
            </w:r>
          </w:p>
        </w:tc>
        <w:tc>
          <w:tcPr>
            <w:tcW w:w="1012" w:type="dxa"/>
          </w:tcPr>
          <w:p>
            <w:r>
              <w:rPr>
                <w:rFonts w:hint="eastAsia"/>
                <w:sz w:val="24"/>
                <w:szCs w:val="24"/>
              </w:rPr>
              <w:t xml:space="preserve">6.2 </w:t>
            </w:r>
          </w:p>
        </w:tc>
        <w:tc>
          <w:tcPr>
            <w:tcW w:w="11026" w:type="dxa"/>
          </w:tcPr>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提供财务部能源管理目标</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1）质量、环境、安全资金保障率100%。</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查阅2020年度以及2021年1-10月目标分解及统计方法记录，财务部基本完成目标指标，财务管理全部完成。</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xml:space="preserve">未将能源资金保障率纳入目标管理及考核 </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color w:val="00B0F0"/>
                <w:kern w:val="2"/>
                <w:sz w:val="21"/>
                <w:szCs w:val="22"/>
                <w:lang w:val="en-US" w:eastAsia="zh-CN" w:bidi="ar-SA"/>
              </w:rPr>
            </w:pPr>
            <w:r>
              <w:rPr>
                <w:rFonts w:hint="eastAsia" w:ascii="Times New Roman" w:hAnsi="Times New Roman" w:eastAsia="宋体" w:cs="Times New Roman"/>
                <w:b w:val="0"/>
                <w:bCs w:val="0"/>
                <w:color w:val="00B0F0"/>
                <w:kern w:val="2"/>
                <w:sz w:val="21"/>
                <w:szCs w:val="22"/>
                <w:lang w:val="en-US" w:eastAsia="zh-CN" w:bidi="ar-SA"/>
              </w:rPr>
              <w:t>问题提出后财务部立即在综合部的指导下同意将能源相关内容纳入，修改为：质量、环境、能源、职业健康安全资金保障率100%</w:t>
            </w:r>
            <w:r>
              <w:rPr>
                <w:rFonts w:hint="eastAsia" w:ascii="Times New Roman" w:hAnsi="Times New Roman" w:eastAsia="宋体" w:cs="Times New Roman"/>
                <w:b w:val="0"/>
                <w:bCs w:val="0"/>
                <w:kern w:val="2"/>
                <w:sz w:val="21"/>
                <w:szCs w:val="22"/>
                <w:lang w:val="en-US" w:eastAsia="zh-CN" w:bidi="ar-SA"/>
              </w:rPr>
              <w:t>。-</w:t>
            </w:r>
            <w:r>
              <w:rPr>
                <w:rFonts w:hint="eastAsia" w:ascii="Times New Roman" w:hAnsi="Times New Roman" w:eastAsia="宋体" w:cs="Times New Roman"/>
                <w:b w:val="0"/>
                <w:bCs w:val="0"/>
                <w:color w:val="00B0F0"/>
                <w:kern w:val="2"/>
                <w:sz w:val="21"/>
                <w:szCs w:val="22"/>
                <w:lang w:val="en-US" w:eastAsia="zh-CN" w:bidi="ar-SA"/>
              </w:rPr>
              <w:t>问题项</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default" w:ascii="Times New Roman" w:hAnsi="Times New Roman" w:eastAsia="宋体" w:cs="Times New Roman"/>
                <w:b w:val="0"/>
                <w:bCs w:val="0"/>
                <w:kern w:val="2"/>
                <w:sz w:val="21"/>
                <w:szCs w:val="22"/>
                <w:lang w:val="en-US" w:eastAsia="zh-CN" w:bidi="ar-SA"/>
              </w:rPr>
            </w:pPr>
            <w:r>
              <w:rPr>
                <w:rFonts w:hint="eastAsia" w:ascii="宋体" w:hAnsi="宋体" w:eastAsia="宋体" w:cs="Times New Roman"/>
                <w:b/>
                <w:bCs/>
                <w:color w:val="0000FF"/>
                <w:spacing w:val="0"/>
                <w:kern w:val="2"/>
                <w:sz w:val="21"/>
                <w:szCs w:val="21"/>
                <w:u w:val="single"/>
                <w:lang w:val="en-US" w:eastAsia="zh-CN" w:bidi="ar-SA"/>
              </w:rPr>
              <w:t>以上信息符合要求。</w:t>
            </w:r>
            <w:bookmarkStart w:id="4" w:name="_GoBack"/>
            <w:bookmarkEnd w:id="4"/>
          </w:p>
        </w:tc>
        <w:tc>
          <w:tcPr>
            <w:tcW w:w="134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4" w:hRule="atLeast"/>
        </w:trPr>
        <w:tc>
          <w:tcPr>
            <w:tcW w:w="1549"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运行控制</w:t>
            </w:r>
          </w:p>
        </w:tc>
        <w:tc>
          <w:tcPr>
            <w:tcW w:w="1012" w:type="dxa"/>
          </w:tcPr>
          <w:p>
            <w:r>
              <w:rPr>
                <w:rFonts w:hint="eastAsia"/>
                <w:sz w:val="24"/>
                <w:szCs w:val="24"/>
              </w:rPr>
              <w:t xml:space="preserve">8.1 </w:t>
            </w:r>
          </w:p>
        </w:tc>
        <w:tc>
          <w:tcPr>
            <w:tcW w:w="11026" w:type="dxa"/>
          </w:tcPr>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出示相关规定：包括——借款审批及标准、财务部职责范围、财务部岗位职责、财务基础工作规范等。</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近年来能源消耗项目情况：提供《近几月能源消耗账目》</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xml:space="preserve"> </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drawing>
                <wp:inline distT="0" distB="0" distL="114300" distR="114300">
                  <wp:extent cx="6478905" cy="1097915"/>
                  <wp:effectExtent l="0" t="0" r="10795"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6478905" cy="109791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宋体" w:hAnsi="宋体" w:eastAsia="宋体" w:cs="Times New Roman"/>
                <w:b/>
                <w:bCs/>
                <w:color w:val="0000FF"/>
                <w:spacing w:val="0"/>
                <w:kern w:val="2"/>
                <w:sz w:val="21"/>
                <w:szCs w:val="21"/>
                <w:u w:val="single"/>
                <w:lang w:val="en-US" w:eastAsia="zh-CN" w:bidi="ar-SA"/>
              </w:rPr>
              <w:t>以上信息符合要求。</w:t>
            </w:r>
          </w:p>
        </w:tc>
        <w:tc>
          <w:tcPr>
            <w:tcW w:w="1347" w:type="dxa"/>
          </w:tcPr>
          <w:p>
            <w:pPr>
              <w:rPr>
                <w:rFonts w:hint="default" w:eastAsia="宋体"/>
                <w:lang w:val="en-US" w:eastAsia="zh-CN"/>
              </w:rPr>
            </w:pPr>
            <w:r>
              <w:rPr>
                <w:rFonts w:hint="eastAsia"/>
                <w:lang w:val="en-US" w:eastAsia="zh-CN"/>
              </w:rPr>
              <w:t>y</w:t>
            </w:r>
          </w:p>
        </w:tc>
      </w:tr>
    </w:tbl>
    <w:p>
      <w:pPr>
        <w:pStyle w:val="6"/>
        <w:rPr>
          <w:rFonts w:hint="eastAsia" w:ascii="Times New Roman" w:hAnsi="Times New Roman" w:eastAsia="宋体" w:cs="Times New Roman"/>
          <w:b w:val="0"/>
          <w:bCs w:val="0"/>
          <w:kern w:val="2"/>
          <w:sz w:val="21"/>
          <w:szCs w:val="22"/>
          <w:lang w:val="en-US" w:eastAsia="zh-CN" w:bidi="ar-SA"/>
        </w:rPr>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隶书">
    <w:panose1 w:val="02010509060101010101"/>
    <w:charset w:val="86"/>
    <w:family w:val="modern"/>
    <w:pitch w:val="default"/>
    <w:sig w:usb0="00000001" w:usb1="080E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Wingdings 2">
    <w:panose1 w:val="05020102010507070707"/>
    <w:charset w:val="00"/>
    <w:family w:val="auto"/>
    <w:pitch w:val="default"/>
    <w:sig w:usb0="00000000" w:usb1="00000000" w:usb2="00000000" w:usb3="00000000" w:csb0="80000000" w:csb1="00000000"/>
  </w:font>
  <w:font w:name="PMingLiU">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mc:AlternateContent>
        <mc:Choice Requires="wps">
          <w:drawing>
            <wp:anchor distT="0" distB="0" distL="114300" distR="114300" simplePos="0" relativeHeight="251658240"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3" name="文本框 1025"/>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rFonts w:hint="eastAsia"/>
                              <w:sz w:val="18"/>
                              <w:szCs w:val="18"/>
                            </w:rPr>
                          </w:pPr>
                          <w:r>
                            <w:rPr>
                              <w:rFonts w:hint="eastAsia"/>
                              <w:sz w:val="18"/>
                              <w:szCs w:val="18"/>
                            </w:rPr>
                            <w:t>ISC-B-II-12(05版）</w:t>
                          </w:r>
                        </w:p>
                      </w:txbxContent>
                    </wps:txbx>
                    <wps:bodyPr upright="1"/>
                  </wps:wsp>
                </a:graphicData>
              </a:graphic>
            </wp:anchor>
          </w:drawing>
        </mc:Choice>
        <mc:Fallback>
          <w:pict>
            <v:shape id="文本框 1025" o:spid="_x0000_s1026" o:spt="202" type="#_x0000_t202" style="position:absolute;left:0pt;margin-left:620.4pt;margin-top:12.55pt;height:20.2pt;width:102.7pt;z-index:251658240;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kH4RNgAAAALAQAADwAAAAAAAAABACAAAAAiAAAAZHJzL2Rvd25y&#10;ZXYueG1sUEsBAhQAFAAAAAgAh07iQHa5MwTFAQAAegMAAA4AAAAAAAAAAQAgAAAAJwEAAGRycy9l&#10;Mm9Eb2MueG1sUEsFBgAAAAAGAAYAWQEAAF4FAAAAAA==&#10;">
              <v:fill on="t" focussize="0,0"/>
              <v:stroke on="f"/>
              <v:imagedata o:title=""/>
              <o:lock v:ext="edit" aspectratio="f"/>
              <v:textbox>
                <w:txbxContent>
                  <w:p>
                    <w:pPr>
                      <w:rPr>
                        <w:rFonts w:hint="eastAsia"/>
                        <w:sz w:val="18"/>
                        <w:szCs w:val="18"/>
                      </w:rPr>
                    </w:pPr>
                    <w:r>
                      <w:rPr>
                        <w:rFonts w:hint="eastAsia"/>
                        <w:sz w:val="18"/>
                        <w:szCs w:val="18"/>
                      </w:rPr>
                      <w:t>ISC-B-II-12(05版）</w:t>
                    </w:r>
                  </w:p>
                </w:txbxContent>
              </v:textbox>
            </v:shape>
          </w:pict>
        </mc:Fallback>
      </mc:AlternateContent>
    </w: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multilevel"/>
    <w:tmpl w:val="00000015"/>
    <w:lvl w:ilvl="0" w:tentative="0">
      <w:start w:val="1"/>
      <w:numFmt w:val="lowerLetter"/>
      <w:pStyle w:val="15"/>
      <w:lvlText w:val="%1)"/>
      <w:lvlJc w:val="left"/>
      <w:pPr>
        <w:tabs>
          <w:tab w:val="left" w:pos="840"/>
        </w:tabs>
        <w:ind w:left="839" w:hanging="419"/>
      </w:pPr>
      <w:rPr>
        <w:rFonts w:hint="eastAsia" w:ascii="宋体" w:eastAsia="宋体" w:cs="Times New Roman"/>
        <w:b w:val="0"/>
        <w:i w:val="0"/>
        <w:sz w:val="21"/>
        <w:szCs w:val="21"/>
      </w:rPr>
    </w:lvl>
    <w:lvl w:ilvl="1" w:tentative="0">
      <w:start w:val="1"/>
      <w:numFmt w:val="decimal"/>
      <w:lvlText w:val="%2)"/>
      <w:lvlJc w:val="left"/>
      <w:pPr>
        <w:tabs>
          <w:tab w:val="left" w:pos="1260"/>
        </w:tabs>
        <w:ind w:left="1259" w:hanging="419"/>
      </w:pPr>
      <w:rPr>
        <w:rFonts w:hint="eastAsia" w:cs="Times New Roman"/>
      </w:rPr>
    </w:lvl>
    <w:lvl w:ilvl="2" w:tentative="0">
      <w:start w:val="1"/>
      <w:numFmt w:val="decimal"/>
      <w:lvlText w:val="(%3)"/>
      <w:lvlJc w:val="left"/>
      <w:pPr>
        <w:tabs>
          <w:tab w:val="left" w:pos="0"/>
        </w:tabs>
        <w:ind w:left="1679" w:hanging="420"/>
      </w:pPr>
      <w:rPr>
        <w:rFonts w:hint="eastAsia" w:ascii="宋体" w:eastAsia="宋体" w:cs="Times New Roman"/>
        <w:b w:val="0"/>
        <w:i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853C0E"/>
    <w:rsid w:val="0A4C1CB8"/>
    <w:rsid w:val="105C638F"/>
    <w:rsid w:val="114D18C5"/>
    <w:rsid w:val="13A143B3"/>
    <w:rsid w:val="14497252"/>
    <w:rsid w:val="18437924"/>
    <w:rsid w:val="1C661D89"/>
    <w:rsid w:val="1D0E4986"/>
    <w:rsid w:val="1F0C66F5"/>
    <w:rsid w:val="2A0E7700"/>
    <w:rsid w:val="2ED74C31"/>
    <w:rsid w:val="323B6CBA"/>
    <w:rsid w:val="38A94369"/>
    <w:rsid w:val="3EC52689"/>
    <w:rsid w:val="46F44871"/>
    <w:rsid w:val="4D886518"/>
    <w:rsid w:val="533F355E"/>
    <w:rsid w:val="64627F0B"/>
    <w:rsid w:val="663D7D0D"/>
    <w:rsid w:val="688B6139"/>
    <w:rsid w:val="6B4104C1"/>
    <w:rsid w:val="6C612B27"/>
    <w:rsid w:val="6DC33923"/>
    <w:rsid w:val="7111745C"/>
    <w:rsid w:val="780A13B7"/>
    <w:rsid w:val="78F50C42"/>
    <w:rsid w:val="7C08182D"/>
    <w:rsid w:val="7EB023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9"/>
    <w:pPr>
      <w:keepNext/>
      <w:keepLines/>
      <w:spacing w:line="360" w:lineRule="auto"/>
      <w:ind w:firstLine="200" w:firstLineChars="200"/>
      <w:outlineLvl w:val="1"/>
    </w:pPr>
    <w:rPr>
      <w:rFonts w:ascii="Cambria" w:hAnsi="Cambria" w:eastAsia="宋体" w:cs="Times New Roman"/>
      <w:b/>
      <w:bCs/>
      <w:sz w:val="24"/>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链接"/>
    <w:qFormat/>
    <w:uiPriority w:val="0"/>
    <w:pPr>
      <w:widowControl w:val="0"/>
      <w:autoSpaceDE w:val="0"/>
      <w:autoSpaceDN w:val="0"/>
      <w:adjustRightInd w:val="0"/>
      <w:ind w:left="720"/>
    </w:pPr>
    <w:rPr>
      <w:rFonts w:ascii="Times New Roman" w:hAnsi="Times New Roman" w:eastAsia="宋体" w:cs="Times New Roman"/>
      <w:color w:val="0000FF"/>
      <w:sz w:val="21"/>
      <w:szCs w:val="21"/>
      <w:u w:val="single"/>
      <w:lang w:val="en-US" w:eastAsia="zh-CN" w:bidi="ar-SA"/>
    </w:rPr>
  </w:style>
  <w:style w:type="paragraph" w:styleId="4">
    <w:name w:val="Plain Text"/>
    <w:basedOn w:val="1"/>
    <w:qFormat/>
    <w:uiPriority w:val="0"/>
    <w:pPr>
      <w:jc w:val="left"/>
    </w:pPr>
    <w:rPr>
      <w:rFonts w:ascii="Courier New" w:hAnsi="Courier New" w:eastAsia="PMingLiU" w:cs="Courier New"/>
      <w:sz w:val="20"/>
      <w:szCs w:val="20"/>
      <w:lang w:eastAsia="zh-TW"/>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10">
    <w:name w:val="表格文字"/>
    <w:basedOn w:val="1"/>
    <w:qFormat/>
    <w:uiPriority w:val="0"/>
    <w:pPr>
      <w:spacing w:before="25" w:after="25"/>
    </w:pPr>
    <w:rPr>
      <w:bCs/>
      <w:spacing w:val="10"/>
    </w:rPr>
  </w:style>
  <w:style w:type="character" w:customStyle="1" w:styleId="11">
    <w:name w:val="页眉 字符"/>
    <w:basedOn w:val="9"/>
    <w:link w:val="7"/>
    <w:qFormat/>
    <w:uiPriority w:val="99"/>
    <w:rPr>
      <w:rFonts w:ascii="Times New Roman" w:hAnsi="Times New Roman" w:eastAsia="宋体" w:cs="Times New Roman"/>
      <w:sz w:val="18"/>
      <w:szCs w:val="18"/>
    </w:rPr>
  </w:style>
  <w:style w:type="character" w:customStyle="1" w:styleId="12">
    <w:name w:val="页脚 字符"/>
    <w:basedOn w:val="9"/>
    <w:link w:val="6"/>
    <w:qFormat/>
    <w:uiPriority w:val="99"/>
    <w:rPr>
      <w:rFonts w:ascii="Times New Roman" w:hAnsi="Times New Roman" w:eastAsia="宋体" w:cs="Times New Roman"/>
      <w:sz w:val="18"/>
      <w:szCs w:val="18"/>
    </w:rPr>
  </w:style>
  <w:style w:type="character" w:customStyle="1" w:styleId="13">
    <w:name w:val="批注框文本 字符"/>
    <w:basedOn w:val="9"/>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字母编号列项（一级）"/>
    <w:qFormat/>
    <w:uiPriority w:val="0"/>
    <w:pPr>
      <w:numPr>
        <w:ilvl w:val="0"/>
        <w:numId w:val="1"/>
      </w:numPr>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emf"/><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6</TotalTime>
  <ScaleCrop>false</ScaleCrop>
  <LinksUpToDate>false</LinksUpToDate>
  <CharactersWithSpaces>147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2022-01-03T02:49:33Z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2052-11.1.0.10314</vt:lpwstr>
  </property>
</Properties>
</file>