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1351-2021-E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邯郸市永年区大久五金制品有限公司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邯郸市永年区大久五金制品有限公司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河北省邯郸市永年区临洺关镇东名阳村铁西工业园区G-91号</w:t>
            </w:r>
            <w:bookmarkEnd w:id="6"/>
          </w:p>
        </w:tc>
        <w:tc>
          <w:tcPr>
            <w:tcW w:w="1242" w:type="dxa"/>
            <w:vMerge w:val="restart"/>
            <w:vAlign w:val="center"/>
          </w:tcPr>
          <w:p>
            <w:r>
              <w:rPr>
                <w:rFonts w:hint="eastAsia"/>
              </w:rPr>
              <w:t>邮编</w:t>
            </w:r>
          </w:p>
        </w:tc>
        <w:tc>
          <w:tcPr>
            <w:tcW w:w="1771" w:type="dxa"/>
          </w:tcPr>
          <w:p>
            <w:bookmarkStart w:id="7" w:name="注册邮编"/>
            <w:r>
              <w:t>057150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河北省邯郸市永年区河北铺新商城4-3-1</w:t>
            </w:r>
            <w:bookmarkEnd w:id="8"/>
          </w:p>
        </w:tc>
        <w:tc>
          <w:tcPr>
            <w:tcW w:w="1242" w:type="dxa"/>
            <w:vMerge w:val="continue"/>
            <w:vAlign w:val="center"/>
          </w:tcPr>
          <w:p/>
        </w:tc>
        <w:tc>
          <w:tcPr>
            <w:tcW w:w="1771" w:type="dxa"/>
          </w:tcPr>
          <w:p>
            <w:bookmarkStart w:id="9" w:name="办公邮编"/>
            <w:r>
              <w:t>057150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程娜</w:t>
            </w:r>
            <w:bookmarkEnd w:id="10"/>
          </w:p>
        </w:tc>
        <w:tc>
          <w:tcPr>
            <w:tcW w:w="1313" w:type="dxa"/>
            <w:vAlign w:val="center"/>
          </w:tcPr>
          <w:p>
            <w:r>
              <w:rPr>
                <w:rFonts w:hint="eastAsia"/>
              </w:rPr>
              <w:t>电话.</w:t>
            </w:r>
          </w:p>
        </w:tc>
        <w:tc>
          <w:tcPr>
            <w:tcW w:w="2180" w:type="dxa"/>
            <w:vAlign w:val="center"/>
          </w:tcPr>
          <w:p>
            <w:bookmarkStart w:id="11" w:name="联系人电话"/>
            <w:r>
              <w:t>15511098000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程娜</w:t>
            </w:r>
            <w:bookmarkEnd w:id="13"/>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白梦轩</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vAlign w:val="top"/>
          </w:tcPr>
          <w:p>
            <w:pPr>
              <w:rPr>
                <w:rFonts w:hint="eastAsia" w:eastAsia="仿宋_GB2312"/>
              </w:rPr>
            </w:pPr>
            <w:r>
              <w:rPr>
                <w:rFonts w:hint="eastAsia" w:eastAsia="仿宋_GB2312"/>
              </w:rPr>
              <w:t>产品销售流程：</w:t>
            </w:r>
          </w:p>
          <w:p>
            <w:pPr>
              <w:ind w:left="315" w:hanging="315" w:hangingChars="150"/>
              <w:rPr>
                <w:rFonts w:hint="eastAsia" w:ascii="宋体" w:hAnsi="宋体"/>
              </w:rPr>
            </w:pPr>
          </w:p>
          <w:p>
            <w:pPr>
              <w:ind w:left="315" w:hanging="315" w:hangingChars="150"/>
              <w:rPr>
                <w:rFonts w:hint="eastAsia" w:ascii="宋体" w:hAnsi="宋体" w:cs="宋体"/>
                <w:bCs/>
                <w:kern w:val="0"/>
              </w:rPr>
            </w:pPr>
            <w:r>
              <w:rPr>
                <w:rFonts w:hint="eastAsia"/>
              </w:rPr>
              <w:pict>
                <v:line id="_x0000_s1033" o:spid="_x0000_s1033" o:spt="20" style="position:absolute;left:0pt;margin-left:343.5pt;margin-top:7.3pt;height:0pt;width:26.25pt;z-index:251668480;mso-width-relative:page;mso-height-relative:page;" coordsize="21600,21600">
                  <v:path arrowok="t"/>
                  <v:fill focussize="0,0"/>
                  <v:stroke endarrow="block"/>
                  <v:imagedata o:title=""/>
                  <o:lock v:ext="edit"/>
                </v:line>
              </w:pict>
            </w:r>
            <w:r>
              <w:rPr>
                <w:rFonts w:hint="eastAsia"/>
              </w:rPr>
              <w:pict>
                <v:line id="_x0000_s1034" o:spid="_x0000_s1034" o:spt="20" style="position:absolute;left:0pt;margin-left:272.25pt;margin-top:7.3pt;height:0pt;width:26.25pt;z-index:251665408;mso-width-relative:page;mso-height-relative:page;" coordsize="21600,21600">
                  <v:path arrowok="t"/>
                  <v:fill focussize="0,0"/>
                  <v:stroke endarrow="block"/>
                  <v:imagedata o:title=""/>
                  <o:lock v:ext="edit"/>
                </v:line>
              </w:pict>
            </w:r>
            <w:r>
              <w:rPr>
                <w:rFonts w:hint="eastAsia"/>
              </w:rPr>
              <w:pict>
                <v:line id="_x0000_s1035" o:spid="_x0000_s1035" o:spt="20" style="position:absolute;left:0pt;margin-left:201.75pt;margin-top:7.3pt;height:0pt;width:26.25pt;z-index:251664384;mso-width-relative:page;mso-height-relative:page;" coordsize="21600,21600">
                  <v:path arrowok="t"/>
                  <v:fill focussize="0,0"/>
                  <v:stroke endarrow="block"/>
                  <v:imagedata o:title=""/>
                  <o:lock v:ext="edit"/>
                </v:line>
              </w:pict>
            </w:r>
            <w:r>
              <w:rPr>
                <w:rFonts w:hint="eastAsia"/>
              </w:rPr>
              <w:pict>
                <v:line id="_x0000_s1036" o:spid="_x0000_s1036" o:spt="20" style="position:absolute;left:0pt;margin-left:109.55pt;margin-top:7.3pt;height:0pt;width:26.25pt;z-index:251663360;mso-width-relative:page;mso-height-relative:page;" coordsize="21600,21600">
                  <v:path arrowok="t"/>
                  <v:fill focussize="0,0"/>
                  <v:stroke endarrow="block"/>
                  <v:imagedata o:title=""/>
                  <o:lock v:ext="edit"/>
                </v:line>
              </w:pict>
            </w:r>
            <w:r>
              <w:rPr>
                <w:rFonts w:hint="eastAsia"/>
              </w:rPr>
              <w:pict>
                <v:line id="_x0000_s1037" o:spid="_x0000_s1037" o:spt="20" style="position:absolute;left:0pt;margin-left:68.2pt;margin-top:7.3pt;height:0pt;width:26.25pt;z-index:251662336;mso-width-relative:page;mso-height-relative:page;" coordsize="21600,21600">
                  <v:path arrowok="t"/>
                  <v:fill focussize="0,0"/>
                  <v:stroke endarrow="block"/>
                  <v:imagedata o:title=""/>
                  <o:lock v:ext="edit"/>
                </v:line>
              </w:pict>
            </w:r>
            <w:r>
              <w:rPr>
                <w:rFonts w:hint="eastAsia" w:ascii="宋体" w:hAnsi="宋体"/>
              </w:rPr>
              <w:t xml:space="preserve">  </w:t>
            </w:r>
            <w:r>
              <w:rPr>
                <w:rFonts w:hint="eastAsia" w:ascii="宋体" w:hAnsi="宋体" w:cs="宋体"/>
                <w:bCs/>
                <w:kern w:val="0"/>
              </w:rPr>
              <w:t xml:space="preserve">确定顾客需求    洽谈    服务要求评审      签订合同     组织货源    </w:t>
            </w:r>
          </w:p>
          <w:p>
            <w:pPr>
              <w:ind w:left="315" w:hanging="315" w:hangingChars="150"/>
              <w:rPr>
                <w:rFonts w:hint="eastAsia" w:ascii="宋体" w:hAnsi="宋体" w:cs="宋体"/>
                <w:bCs/>
                <w:kern w:val="0"/>
              </w:rPr>
            </w:pPr>
          </w:p>
          <w:p>
            <w:pPr>
              <w:tabs>
                <w:tab w:val="left" w:pos="360"/>
              </w:tabs>
              <w:ind w:left="360" w:leftChars="0" w:hanging="360" w:firstLineChars="0"/>
              <w:rPr>
                <w:rFonts w:ascii="宋体" w:hAnsi="Times New Roman" w:eastAsia="宋体" w:cs="Times New Roman"/>
                <w:color w:val="000000"/>
                <w:kern w:val="2"/>
                <w:sz w:val="21"/>
                <w:szCs w:val="21"/>
                <w:lang w:val="en-US" w:eastAsia="zh-CN" w:bidi="ar-SA"/>
              </w:rPr>
            </w:pPr>
            <w:r>
              <w:rPr>
                <w:rFonts w:hint="eastAsia"/>
              </w:rPr>
              <w:pict>
                <v:line id="_x0000_s1038" o:spid="_x0000_s1038" o:spt="20" style="position:absolute;left:0pt;margin-left:40.55pt;margin-top:9.7pt;height:0pt;width:26.25pt;z-index:251667456;mso-width-relative:page;mso-height-relative:page;" coordsize="21600,21600">
                  <v:path arrowok="t"/>
                  <v:fill focussize="0,0"/>
                  <v:stroke endarrow="block"/>
                  <v:imagedata o:title=""/>
                  <o:lock v:ext="edit"/>
                </v:line>
              </w:pict>
            </w:r>
            <w:r>
              <w:rPr>
                <w:rFonts w:hint="eastAsia"/>
              </w:rPr>
              <w:pict>
                <v:line id="_x0000_s1039" o:spid="_x0000_s1039" o:spt="20" style="position:absolute;left:0pt;margin-left:83.3pt;margin-top:9.7pt;height:0pt;width:26.25pt;z-index:251666432;mso-width-relative:page;mso-height-relative:page;" coordsize="21600,21600">
                  <v:path arrowok="t"/>
                  <v:fill focussize="0,0"/>
                  <v:stroke endarrow="block"/>
                  <v:imagedata o:title=""/>
                  <o:lock v:ext="edit"/>
                </v:line>
              </w:pict>
            </w:r>
            <w:r>
              <w:rPr>
                <w:rFonts w:hint="eastAsia" w:ascii="宋体" w:hAnsi="宋体" w:cs="宋体"/>
                <w:bCs/>
                <w:kern w:val="0"/>
              </w:rPr>
              <w:t>产品交付    结算      顾客满意度调查</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2022年01月10日 上午至2022年01月10日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紧固件（螺栓、螺母、预埋件、锻打异形件）的销售所涉及场所的相关环境管理活动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29.10.07</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黑体" w:cs="Times New Roman"/>
                <w:kern w:val="2"/>
                <w:sz w:val="21"/>
                <w:szCs w:val="21"/>
                <w:lang w:val="de-DE" w:eastAsia="ja-JP" w:bidi="ar-SA"/>
              </w:rPr>
            </w:pPr>
            <w:r>
              <w:rPr>
                <w:rFonts w:hint="eastAsia" w:eastAsia="黑体"/>
                <w:szCs w:val="21"/>
                <w:lang w:val="de-DE" w:eastAsia="ja-JP"/>
              </w:rPr>
              <w:t>邯郸市永年区大久五金制品有限公司</w:t>
            </w:r>
            <w:r>
              <w:rPr>
                <w:rFonts w:hint="eastAsia" w:eastAsia="黑体"/>
                <w:szCs w:val="21"/>
                <w:lang w:val="en-US" w:eastAsia="zh-CN"/>
              </w:rPr>
              <w:t>/</w:t>
            </w:r>
            <w:r>
              <w:rPr>
                <w:sz w:val="21"/>
                <w:szCs w:val="21"/>
              </w:rPr>
              <w:t>河北省邯郸市永年区临洺关镇东名阳村铁西工业园区G-91号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河北省邯郸市永年区河北铺新商城4-3-1</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10</w:t>
            </w:r>
          </w:p>
        </w:tc>
        <w:tc>
          <w:tcPr>
            <w:tcW w:w="2803" w:type="dxa"/>
            <w:vAlign w:val="center"/>
          </w:tcPr>
          <w:p>
            <w:pPr>
              <w:pStyle w:val="21"/>
              <w:rPr>
                <w:rFonts w:ascii="Times New Roman" w:hAnsi="Times New Roman" w:eastAsia="黑体" w:cs="Arial"/>
                <w:kern w:val="2"/>
                <w:sz w:val="21"/>
                <w:szCs w:val="21"/>
                <w:lang w:val="en-US" w:eastAsia="ja-JP" w:bidi="ar-SA"/>
              </w:rPr>
            </w:pPr>
            <w:r>
              <w:rPr>
                <w:rFonts w:hint="eastAsia" w:ascii="宋体" w:hAnsi="宋体"/>
                <w:b/>
                <w:color w:val="000000"/>
                <w:szCs w:val="21"/>
              </w:rPr>
              <w:t>紧固件（螺栓、螺母、预埋件、锻打异形件）的销售所涉及场所的相关环境管理活动</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GB/T24001-2016/ISO 14001:2015</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2020-N1EMS-1262293</w:t>
            </w:r>
          </w:p>
        </w:tc>
        <w:tc>
          <w:tcPr>
            <w:tcW w:w="2179" w:type="dxa"/>
            <w:vAlign w:val="center"/>
          </w:tcPr>
          <w:p>
            <w: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ascii="宋体" w:hAnsi="宋体"/>
                <w:b/>
                <w:color w:val="000000"/>
                <w:szCs w:val="21"/>
              </w:rPr>
              <w:t>紧固件（螺栓、螺母、预埋件、锻打异形件）的销售所涉及场所的相关环境管理活动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2022年1月10日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br w:type="page"/>
      </w: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w:t>
            </w:r>
            <w:r>
              <w:rPr>
                <w:rFonts w:hint="eastAsia"/>
              </w:rPr>
              <w:sym w:font="Wingdings 2" w:char="00A3"/>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A3"/>
            </w:r>
            <w:r>
              <w:rPr>
                <w:rFonts w:hint="eastAsia"/>
              </w:rPr>
              <w:t>节约资源</w:t>
            </w:r>
            <w:r>
              <w:rPr>
                <w:rFonts w:hint="eastAsia"/>
              </w:rPr>
              <w:sym w:font="Wingdings 2" w:char="00A3"/>
            </w:r>
            <w:r>
              <w:rPr>
                <w:rFonts w:hint="eastAsia"/>
              </w:rPr>
              <w:t>达标排放</w:t>
            </w:r>
            <w:r>
              <w:rPr>
                <w:rFonts w:hint="eastAsia"/>
              </w:rPr>
              <w:sym w:font="Wingdings 2" w:char="0052"/>
            </w:r>
            <w:r>
              <w:rPr>
                <w:rFonts w:hint="eastAsia"/>
              </w:rPr>
              <w:t>消防控制□危化品管理</w:t>
            </w:r>
            <w:r>
              <w:rPr>
                <w:rFonts w:hint="eastAsia"/>
              </w:rPr>
              <w:sym w:font="Wingdings 2" w:char="00A3"/>
            </w:r>
            <w:r>
              <w:rPr>
                <w:rFonts w:hint="eastAsia"/>
              </w:rPr>
              <w:t>特种设备管理</w:t>
            </w:r>
          </w:p>
          <w:p>
            <w:pPr>
              <w:shd w:val="clear" w:color="auto" w:fill="EBF1DE" w:themeFill="accent3" w:themeFillTint="32"/>
              <w:spacing w:before="40" w:after="40"/>
            </w:pPr>
            <w:r>
              <w:rPr>
                <w:rFonts w:hint="eastAsia"/>
              </w:rPr>
              <w:sym w:font="Wingdings 2" w:char="00A3"/>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w:t>
            </w:r>
            <w:r>
              <w:rPr>
                <w:rFonts w:hint="eastAsia"/>
              </w:rPr>
              <w:sym w:font="Wingdings 2" w:char="0052"/>
            </w:r>
            <w:r>
              <w:rPr>
                <w:rFonts w:hint="eastAsia"/>
              </w:rPr>
              <w:t>生产/服务过程□环保监测</w:t>
            </w:r>
            <w:r>
              <w:rPr>
                <w:rFonts w:hint="eastAsia"/>
              </w:rPr>
              <w:sym w:font="Wingdings 2" w:char="0052"/>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widowControl/>
              <w:spacing w:before="40"/>
              <w:jc w:val="left"/>
              <w:rPr>
                <w:rFonts w:hint="eastAsia"/>
                <w:color w:val="000000"/>
                <w:szCs w:val="18"/>
              </w:rPr>
            </w:pPr>
            <w:r>
              <w:rPr>
                <w:rFonts w:hint="eastAsia"/>
              </w:rPr>
              <w:t>最高管理者制定了文件化的管理体系方针：</w:t>
            </w:r>
            <w:r>
              <w:rPr>
                <w:rFonts w:hint="eastAsia"/>
                <w:color w:val="000000"/>
                <w:szCs w:val="18"/>
              </w:rPr>
              <w:t>安全第一、保障健康       质量为本、规范销售</w:t>
            </w:r>
          </w:p>
          <w:p>
            <w:pPr>
              <w:shd w:val="clear" w:color="auto" w:fill="EBF1DE" w:themeFill="accent3" w:themeFillTint="32"/>
              <w:rPr>
                <w:u w:val="single"/>
              </w:rPr>
            </w:pPr>
            <w:r>
              <w:rPr>
                <w:rFonts w:hint="eastAsia"/>
                <w:color w:val="000000"/>
                <w:szCs w:val="18"/>
              </w:rPr>
              <w:t>减少污染、节能降耗       遵纪守法、持续改进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ascii="Times New Roman" w:hAnsi="Times New Roman" w:eastAsia="宋体" w:cs="Times New Roman"/>
                <w:kern w:val="2"/>
                <w:sz w:val="21"/>
                <w:szCs w:val="24"/>
                <w:highlight w:val="cyan"/>
                <w:lang w:val="en-US" w:eastAsia="zh-CN" w:bidi="ar-SA"/>
              </w:rPr>
            </w:pPr>
            <w:r>
              <w:rPr>
                <w:rFonts w:hint="eastAsia"/>
              </w:rPr>
              <w:sym w:font="Wingdings 2" w:char="0052"/>
            </w:r>
            <w:r>
              <w:rPr>
                <w:rFonts w:hint="eastAsia"/>
              </w:rPr>
              <w:t>能源消耗</w:t>
            </w:r>
            <w:r>
              <w:rPr>
                <w:rFonts w:hint="eastAsia"/>
              </w:rPr>
              <w:sym w:font="Wingdings 2" w:char="00A3"/>
            </w:r>
            <w:r>
              <w:rPr>
                <w:rFonts w:hint="eastAsia"/>
              </w:rPr>
              <w:t>资源消耗□废水排放</w:t>
            </w:r>
            <w:r>
              <w:rPr>
                <w:rFonts w:hint="eastAsia"/>
              </w:rPr>
              <w:sym w:font="Wingdings 2" w:char="00A3"/>
            </w:r>
            <w:r>
              <w:rPr>
                <w:rFonts w:hint="eastAsia"/>
              </w:rPr>
              <w:t>废气排放</w:t>
            </w:r>
            <w:r>
              <w:rPr>
                <w:rFonts w:hint="eastAsia"/>
              </w:rPr>
              <w:sym w:font="Wingdings 2" w:char="00A3"/>
            </w:r>
            <w:r>
              <w:rPr>
                <w:rFonts w:hint="eastAsia"/>
              </w:rPr>
              <w:t>粉尘排放</w:t>
            </w:r>
            <w:r>
              <w:rPr>
                <w:rFonts w:hint="eastAsia"/>
              </w:rPr>
              <w:sym w:font="Wingdings 2" w:char="00A3"/>
            </w:r>
            <w:r>
              <w:rPr>
                <w:rFonts w:hint="eastAsia"/>
              </w:rPr>
              <w:t>危废排放</w:t>
            </w:r>
            <w:r>
              <w:rPr>
                <w:rFonts w:hint="eastAsia"/>
              </w:rPr>
              <w:sym w:font="Wingdings 2" w:char="00A3"/>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Times New Roman"/>
                      <w:sz w:val="21"/>
                      <w:szCs w:val="21"/>
                      <w:lang w:val="en-US" w:eastAsia="zh-CN"/>
                    </w:rPr>
                    <w:t>固废处理达标排放</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ascii="宋体" w:hAnsi="宋体"/>
                      <w:lang w:val="en-US" w:eastAsia="zh-CN"/>
                    </w:rPr>
                    <w:t>分类收集，集中处理</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GB"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eastAsia" w:ascii="宋体" w:hAnsi="宋体" w:eastAsia="宋体" w:cs="Times New Roman"/>
                      <w:kern w:val="2"/>
                      <w:sz w:val="21"/>
                      <w:szCs w:val="21"/>
                      <w:lang w:val="en-US" w:eastAsia="zh-CN" w:bidi="ar-SA"/>
                    </w:rPr>
                  </w:pPr>
                  <w:r>
                    <w:rPr>
                      <w:rFonts w:hint="eastAsia" w:ascii="宋体" w:hAnsi="宋体" w:cs="Times New Roman"/>
                      <w:sz w:val="21"/>
                      <w:szCs w:val="21"/>
                      <w:lang w:val="en-US" w:eastAsia="zh-CN"/>
                    </w:rPr>
                    <w:t>杜绝火灾事故</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lang w:val="en-US" w:eastAsia="zh-CN"/>
                    </w:rPr>
                    <w:t>火灾应急预案、消防培训</w:t>
                  </w:r>
                </w:p>
              </w:tc>
              <w:tc>
                <w:tcPr>
                  <w:tcW w:w="1350"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200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u w:val="single"/>
                <w:lang w:val="en-US" w:eastAsia="zh-CN"/>
              </w:rPr>
              <w:t>电脑、打印机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lang w:val="en-US" w:eastAsia="zh-CN"/>
              </w:rPr>
              <w:t>灭火器</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lang w:eastAsia="zh-CN"/>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lang w:eastAsia="zh-CN"/>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16</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5</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3</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bookmarkStart w:id="33" w:name="_GoBack"/>
            <w:bookmarkEnd w:id="33"/>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pStyle w:val="12"/>
        <w:rPr>
          <w:rFonts w:hint="eastAsia" w:eastAsia="宋体"/>
          <w:lang w:eastAsia="zh-CN"/>
        </w:rPr>
      </w:pPr>
      <w:r>
        <w:rPr>
          <w:rFonts w:hint="eastAsia" w:eastAsia="宋体"/>
          <w:lang w:eastAsia="zh-CN"/>
        </w:rPr>
        <w:drawing>
          <wp:inline distT="0" distB="0" distL="114300" distR="114300">
            <wp:extent cx="6187440" cy="8757285"/>
            <wp:effectExtent l="0" t="0" r="0" b="5715"/>
            <wp:docPr id="1" name="图片 1" descr="太久二阶段扫描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太久二阶段扫描_06"/>
                    <pic:cNvPicPr>
                      <a:picLocks noChangeAspect="1"/>
                    </pic:cNvPicPr>
                  </pic:nvPicPr>
                  <pic:blipFill>
                    <a:blip r:embed="rId6"/>
                    <a:stretch>
                      <a:fillRect/>
                    </a:stretch>
                  </pic:blipFill>
                  <pic:spPr>
                    <a:xfrm>
                      <a:off x="0" y="0"/>
                      <a:ext cx="6187440" cy="8757285"/>
                    </a:xfrm>
                    <a:prstGeom prst="rect">
                      <a:avLst/>
                    </a:prstGeom>
                  </pic:spPr>
                </pic:pic>
              </a:graphicData>
            </a:graphic>
          </wp:inline>
        </w:drawing>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中國龍中黑體">
    <w:altName w:val="黑体"/>
    <w:panose1 w:val="00000000000000000000"/>
    <w:charset w:val="88"/>
    <w:family w:val="modern"/>
    <w:pitch w:val="default"/>
    <w:sig w:usb0="00000000" w:usb1="00000000" w:usb2="0000003F" w:usb3="00000000" w:csb0="001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8946FC4"/>
    <w:rsid w:val="26B95EE4"/>
    <w:rsid w:val="311F0CA5"/>
    <w:rsid w:val="3253035E"/>
    <w:rsid w:val="564A1A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中國龍中黑體"/>
      <w:sz w:val="24"/>
      <w:szCs w:val="20"/>
      <w:lang w:eastAsia="zh-TW"/>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2022-01-15T12:42:19Z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