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0"/>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杨磊</w:t>
            </w:r>
            <w:r>
              <w:rPr>
                <w:sz w:val="24"/>
                <w:szCs w:val="24"/>
              </w:rPr>
              <w:t xml:space="preserve">      </w:t>
            </w:r>
            <w:r>
              <w:rPr>
                <w:rFonts w:hint="eastAsia"/>
                <w:sz w:val="24"/>
                <w:szCs w:val="24"/>
              </w:rPr>
              <w:t>陪同人员：</w:t>
            </w:r>
            <w:r>
              <w:rPr>
                <w:rFonts w:hint="eastAsia"/>
                <w:sz w:val="24"/>
                <w:szCs w:val="24"/>
                <w:lang w:val="en-US" w:eastAsia="zh-CN"/>
              </w:rPr>
              <w:t>刘娟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03" w:hRule="atLeast"/>
        </w:trPr>
        <w:tc>
          <w:tcPr>
            <w:tcW w:w="2020" w:type="dxa"/>
            <w:vMerge w:val="continue"/>
            <w:vAlign w:val="center"/>
          </w:tcPr>
          <w:p/>
        </w:tc>
        <w:tc>
          <w:tcPr>
            <w:tcW w:w="1100"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肖新龙、任泽华（实习）</w:t>
            </w:r>
            <w:r>
              <w:rPr>
                <w:sz w:val="24"/>
                <w:szCs w:val="24"/>
              </w:rPr>
              <w:t xml:space="preserve">                 </w:t>
            </w:r>
            <w:r>
              <w:rPr>
                <w:rFonts w:hint="eastAsia"/>
                <w:sz w:val="24"/>
                <w:szCs w:val="24"/>
              </w:rPr>
              <w:t>审核时间：</w:t>
            </w:r>
            <w:r>
              <w:rPr>
                <w:rFonts w:hint="eastAsia"/>
                <w:sz w:val="24"/>
                <w:szCs w:val="24"/>
                <w:lang w:val="en-US" w:eastAsia="zh-CN"/>
              </w:rPr>
              <w:t>2022-01-04上午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20" w:type="dxa"/>
            <w:vMerge w:val="continue"/>
            <w:vAlign w:val="center"/>
          </w:tcPr>
          <w:p/>
        </w:tc>
        <w:tc>
          <w:tcPr>
            <w:tcW w:w="1100" w:type="dxa"/>
            <w:gridSpan w:val="2"/>
            <w:vMerge w:val="continue"/>
            <w:vAlign w:val="center"/>
          </w:tcPr>
          <w:p/>
        </w:tc>
        <w:tc>
          <w:tcPr>
            <w:tcW w:w="10004" w:type="dxa"/>
            <w:gridSpan w:val="3"/>
            <w:vAlign w:val="center"/>
          </w:tcPr>
          <w:p>
            <w:pPr>
              <w:spacing w:line="300" w:lineRule="exact"/>
              <w:rPr>
                <w:sz w:val="24"/>
                <w:szCs w:val="24"/>
              </w:rPr>
            </w:pPr>
            <w:r>
              <w:rPr>
                <w:rFonts w:hint="eastAsia"/>
                <w:sz w:val="24"/>
                <w:szCs w:val="24"/>
              </w:rPr>
              <w:t>审核条款：</w:t>
            </w:r>
            <w:r>
              <w:rPr>
                <w:rFonts w:hint="eastAsia" w:ascii="宋体" w:hAnsi="宋体"/>
                <w:b/>
                <w:bCs/>
                <w:sz w:val="21"/>
                <w:szCs w:val="21"/>
              </w:rPr>
              <w:t>H：1.1/2.1-2.5/3.13/</w:t>
            </w:r>
            <w:r>
              <w:rPr>
                <w:rFonts w:hint="eastAsia" w:ascii="宋体" w:hAnsi="宋体"/>
                <w:b/>
                <w:bCs/>
                <w:sz w:val="21"/>
                <w:szCs w:val="21"/>
                <w:lang w:val="en-US" w:eastAsia="zh-CN"/>
              </w:rPr>
              <w:t>5.4/</w:t>
            </w:r>
            <w:r>
              <w:rPr>
                <w:rFonts w:hint="eastAsia" w:ascii="宋体" w:hAnsi="宋体"/>
                <w:b/>
                <w:bCs/>
                <w:sz w:val="21"/>
                <w:szCs w:val="21"/>
              </w:rPr>
              <w:t>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07" w:hRule="atLeast"/>
        </w:trPr>
        <w:tc>
          <w:tcPr>
            <w:tcW w:w="2020" w:type="dxa"/>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6"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17"/>
              <w:adjustRightInd w:val="0"/>
              <w:snapToGrid w:val="0"/>
              <w:spacing w:line="360" w:lineRule="auto"/>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8</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7"/>
              <w:adjustRightInd w:val="0"/>
              <w:snapToGrid w:val="0"/>
              <w:spacing w:line="360" w:lineRule="auto"/>
              <w:rPr>
                <w:u w:val="single"/>
              </w:rPr>
            </w:pPr>
            <w:r>
              <w:rPr>
                <w:rFonts w:hint="eastAsia" w:ascii="Times New Roman" w:hAnsi="Times New Roman"/>
              </w:rPr>
              <w:t>位于</w:t>
            </w:r>
            <w:r>
              <w:rPr>
                <w:rFonts w:hint="eastAsia"/>
                <w:u w:val="single"/>
              </w:rPr>
              <w:t xml:space="preserve">  </w:t>
            </w:r>
            <w:bookmarkStart w:id="0" w:name="审核范围"/>
            <w:r>
              <w:rPr>
                <w:rFonts w:hint="eastAsia"/>
                <w:u w:val="single"/>
              </w:rPr>
              <w:t>位于江苏省泰州市泰兴市农产品加工园区创园东路6号江苏鲜时农业科技有限公司集体用餐制作、配送</w:t>
            </w:r>
            <w:r>
              <w:rPr>
                <w:rFonts w:hint="eastAsia"/>
                <w:u w:val="single"/>
                <w:lang w:val="en-US" w:eastAsia="zh-CN"/>
              </w:rPr>
              <w:t>服务</w:t>
            </w:r>
            <w:r>
              <w:rPr>
                <w:rFonts w:hint="eastAsia"/>
                <w:u w:val="single"/>
                <w:lang w:eastAsia="zh-CN"/>
              </w:rPr>
              <w:t>（</w:t>
            </w:r>
            <w:r>
              <w:rPr>
                <w:rFonts w:hint="eastAsia"/>
                <w:u w:val="single"/>
              </w:rPr>
              <w:t>热食类食品制售</w:t>
            </w:r>
            <w:bookmarkEnd w:id="0"/>
            <w:r>
              <w:rPr>
                <w:rFonts w:hint="eastAsia"/>
                <w:u w:val="single"/>
                <w:lang w:eastAsia="zh-CN"/>
              </w:rPr>
              <w:t>）</w:t>
            </w:r>
            <w:r>
              <w:rPr>
                <w:rFonts w:hint="eastAsia"/>
                <w:u w:val="single"/>
              </w:rPr>
              <w:t xml:space="preserve"> ；</w:t>
            </w:r>
          </w:p>
          <w:p>
            <w:pPr>
              <w:pStyle w:val="17"/>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7"/>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17"/>
              <w:adjustRightInd w:val="0"/>
              <w:snapToGrid w:val="0"/>
              <w:spacing w:line="360" w:lineRule="auto"/>
              <w:rPr>
                <w:u w:val="single"/>
              </w:rPr>
            </w:pPr>
            <w:r>
              <w:rPr>
                <w:rFonts w:hint="eastAsia"/>
              </w:rPr>
              <w:t>外包过程包括：</w:t>
            </w:r>
            <w:r>
              <w:rPr>
                <w:rFonts w:hint="eastAsia"/>
                <w:u w:val="single"/>
                <w:lang w:val="en-US" w:eastAsia="zh-CN"/>
              </w:rPr>
              <w:t xml:space="preserve">  无</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lang w:eastAsia="zh-CN"/>
              </w:rPr>
              <w:t>，</w:t>
            </w:r>
            <w:r>
              <w:rPr>
                <w:rFonts w:hint="eastAsia"/>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2.1条款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8"/>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03"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泰兴市市场监督管理局新街分局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12"/>
                    <w:rPr>
                      <w:rFonts w:hint="default"/>
                      <w:highlight w:val="none"/>
                      <w:lang w:val="en-US" w:eastAsia="zh-CN"/>
                    </w:rPr>
                  </w:pPr>
                  <w:r>
                    <w:rPr>
                      <w:rFonts w:hint="eastAsia"/>
                      <w:highlight w:val="none"/>
                      <w:lang w:val="en-US" w:eastAsia="zh-CN"/>
                    </w:rPr>
                    <w:t>江苏百汇农业发展有限公司、北京金川厨食品科技有限公司等</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A3"/>
                  </w:r>
                  <w:r>
                    <w:rPr>
                      <w:rFonts w:hint="eastAsia"/>
                      <w:highlight w:val="none"/>
                    </w:rPr>
                    <w:t>投资方</w:t>
                  </w:r>
                </w:p>
              </w:tc>
              <w:tc>
                <w:tcPr>
                  <w:tcW w:w="2240" w:type="dxa"/>
                </w:tcPr>
                <w:p>
                  <w:pPr>
                    <w:rPr>
                      <w:rFonts w:hint="eastAsia" w:eastAsia="宋体"/>
                      <w:highlight w:val="none"/>
                      <w:lang w:eastAsia="zh-CN"/>
                    </w:rPr>
                  </w:pPr>
                  <w:r>
                    <w:rPr>
                      <w:rFonts w:hint="eastAsia"/>
                      <w:highlight w:val="none"/>
                      <w:lang w:eastAsia="zh-CN"/>
                    </w:rPr>
                    <w:t>——</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工业园区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
            <w:pPr>
              <w:pStyle w:val="8"/>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2.3条款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highlight w:val="none"/>
              </w:rPr>
            </w:pPr>
            <w:r>
              <w:rPr>
                <w:rFonts w:hint="eastAsia"/>
                <w:highlight w:val="none"/>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default" w:eastAsia="宋体"/>
                <w:highlight w:val="none"/>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2021年度从食品安全法、安全生产、岗位要求等方面开展培训，提供员工的食品安全意识。详见办公室 3.2条款审核记录。</w:t>
            </w:r>
          </w:p>
          <w:p>
            <w:pP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pacing w:line="360" w:lineRule="auto"/>
              <w:rPr>
                <w:rFonts w:hint="default" w:eastAsia="宋体"/>
                <w:highlight w:val="none"/>
                <w:lang w:val="en-US" w:eastAsia="zh-CN"/>
              </w:rPr>
            </w:pPr>
            <w:r>
              <w:rPr>
                <w:rFonts w:hint="eastAsia"/>
                <w:highlight w:val="none"/>
              </w:rPr>
              <w:t xml:space="preserve">    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r>
              <w:rPr>
                <w:rFonts w:hint="eastAsia"/>
                <w:highlight w:val="none"/>
                <w:lang w:eastAsia="zh-CN"/>
              </w:rPr>
              <w:t>，</w:t>
            </w:r>
            <w:r>
              <w:rPr>
                <w:rFonts w:hint="eastAsia"/>
                <w:highlight w:val="none"/>
                <w:lang w:val="en-US" w:eastAsia="zh-CN"/>
              </w:rPr>
              <w:t>经沟通了解目前正在开展展板、标语方面的传播</w:t>
            </w:r>
          </w:p>
          <w:p>
            <w:pP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val="en-US" w:eastAsia="zh-CN"/>
              </w:rPr>
              <w:t>有开展食品安全文化，但总体的评价未进行，已现场沟通</w:t>
            </w:r>
          </w:p>
          <w:p>
            <w:pP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年     月     日</w:t>
            </w:r>
            <w:r>
              <w:rPr>
                <w:rFonts w:hint="eastAsia"/>
                <w:highlight w:val="none"/>
              </w:rPr>
              <w:t>；结论：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spacing w:line="360" w:lineRule="auto"/>
              <w:rPr>
                <w:rFonts w:hint="eastAsia"/>
                <w:u w:val="single"/>
              </w:rPr>
            </w:pPr>
            <w:r>
              <w:rPr>
                <w:rFonts w:hint="eastAsia"/>
                <w:u w:val="single"/>
              </w:rPr>
              <w:t xml:space="preserve">       顾客至上 品质为尊 标准规范 </w:t>
            </w:r>
            <w:r>
              <w:rPr>
                <w:rFonts w:hint="eastAsia"/>
                <w:u w:val="single"/>
                <w:lang w:val="en-US" w:eastAsia="zh-CN"/>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4"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9"/>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42"/>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1342" w:type="dxa"/>
                  <w:shd w:val="clear" w:color="auto" w:fill="auto"/>
                </w:tcPr>
                <w:p>
                  <w:pPr>
                    <w:rPr>
                      <w:szCs w:val="22"/>
                    </w:rPr>
                  </w:pPr>
                  <w:r>
                    <w:rPr>
                      <w:rFonts w:hint="eastAsia"/>
                      <w:szCs w:val="22"/>
                    </w:rPr>
                    <w:t>考核频率</w:t>
                  </w:r>
                </w:p>
              </w:tc>
              <w:tc>
                <w:tcPr>
                  <w:tcW w:w="2023" w:type="dxa"/>
                  <w:shd w:val="clear" w:color="auto" w:fill="auto"/>
                </w:tcPr>
                <w:p>
                  <w:pPr>
                    <w:rPr>
                      <w:szCs w:val="22"/>
                    </w:rPr>
                  </w:pPr>
                  <w:r>
                    <w:rPr>
                      <w:rFonts w:hint="eastAsia"/>
                      <w:szCs w:val="22"/>
                    </w:rPr>
                    <w:t>计算方法</w:t>
                  </w:r>
                </w:p>
              </w:tc>
              <w:tc>
                <w:tcPr>
                  <w:tcW w:w="1268"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szCs w:val="22"/>
                      <w:lang w:val="en-US" w:eastAsia="zh-CN"/>
                    </w:rPr>
                    <w:t>2021.08-2021.12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center"/>
                </w:tcPr>
                <w:p>
                  <w:pPr>
                    <w:spacing w:line="480" w:lineRule="exact"/>
                    <w:jc w:val="left"/>
                    <w:rPr>
                      <w:rFonts w:hint="eastAsia" w:ascii="Times New Roman" w:hAnsi="Times New Roman" w:eastAsia="宋体" w:cs="Times New Roman"/>
                      <w:kern w:val="2"/>
                      <w:sz w:val="21"/>
                      <w:lang w:val="en-US" w:eastAsia="zh-CN" w:bidi="ar-SA"/>
                    </w:rPr>
                  </w:pPr>
                  <w:r>
                    <w:rPr>
                      <w:rFonts w:hint="eastAsia"/>
                    </w:rPr>
                    <w:t>产品</w:t>
                  </w:r>
                  <w:r>
                    <w:rPr>
                      <w:rFonts w:hint="eastAsia"/>
                      <w:lang w:val="en-US" w:eastAsia="zh-CN"/>
                    </w:rPr>
                    <w:t>一次检验合格</w:t>
                  </w:r>
                  <w:r>
                    <w:rPr>
                      <w:rFonts w:hint="eastAsia"/>
                    </w:rPr>
                    <w:t>率</w:t>
                  </w:r>
                  <w:r>
                    <w:rPr>
                      <w:rFonts w:hint="eastAsia"/>
                      <w:lang w:val="en-US" w:eastAsia="zh-CN"/>
                    </w:rPr>
                    <w:t>≥95%</w:t>
                  </w:r>
                </w:p>
              </w:tc>
              <w:tc>
                <w:tcPr>
                  <w:tcW w:w="1342"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rPr>
                    <w:t>季度</w:t>
                  </w:r>
                </w:p>
              </w:tc>
              <w:tc>
                <w:tcPr>
                  <w:tcW w:w="2023"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rPr>
                    <w:t>合格数/总数×100%</w:t>
                  </w:r>
                </w:p>
              </w:tc>
              <w:tc>
                <w:tcPr>
                  <w:tcW w:w="1268"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质量部</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spacing w:line="500" w:lineRule="exact"/>
                    <w:jc w:val="left"/>
                    <w:rPr>
                      <w:rFonts w:hint="eastAsia" w:ascii="Times New Roman" w:hAnsi="Times New Roman" w:eastAsia="宋体" w:cs="Times New Roman"/>
                      <w:kern w:val="2"/>
                      <w:sz w:val="21"/>
                      <w:lang w:val="en-US" w:eastAsia="zh-CN" w:bidi="ar-SA"/>
                    </w:rPr>
                  </w:pPr>
                  <w:r>
                    <w:rPr>
                      <w:rFonts w:hint="eastAsia"/>
                    </w:rPr>
                    <w:t>重大食品安全事故为0</w:t>
                  </w:r>
                </w:p>
              </w:tc>
              <w:tc>
                <w:tcPr>
                  <w:tcW w:w="1342" w:type="dxa"/>
                  <w:vAlign w:val="center"/>
                </w:tcPr>
                <w:p>
                  <w:pPr>
                    <w:jc w:val="center"/>
                    <w:rPr>
                      <w:rFonts w:hint="eastAsia" w:ascii="Times New Roman" w:hAnsi="Times New Roman" w:eastAsia="宋体" w:cs="Times New Roman"/>
                      <w:kern w:val="2"/>
                      <w:sz w:val="21"/>
                      <w:lang w:val="en-US" w:eastAsia="zh-CN" w:bidi="ar-SA"/>
                    </w:rPr>
                  </w:pPr>
                  <w:r>
                    <w:rPr>
                      <w:rFonts w:hint="eastAsia"/>
                    </w:rPr>
                    <w:t>季度</w:t>
                  </w:r>
                </w:p>
              </w:tc>
              <w:tc>
                <w:tcPr>
                  <w:tcW w:w="2023" w:type="dxa"/>
                  <w:vAlign w:val="center"/>
                </w:tcPr>
                <w:p>
                  <w:pPr>
                    <w:jc w:val="center"/>
                    <w:rPr>
                      <w:rFonts w:hint="eastAsia" w:ascii="Times New Roman" w:hAnsi="Times New Roman" w:eastAsia="宋体" w:cs="Times New Roman"/>
                      <w:kern w:val="2"/>
                      <w:sz w:val="21"/>
                      <w:lang w:val="en-US" w:eastAsia="zh-CN" w:bidi="ar-SA"/>
                    </w:rPr>
                  </w:pPr>
                  <w:r>
                    <w:rPr>
                      <w:rFonts w:hint="eastAsia"/>
                    </w:rPr>
                    <w:t>实际发生次数</w:t>
                  </w:r>
                </w:p>
              </w:tc>
              <w:tc>
                <w:tcPr>
                  <w:tcW w:w="1268" w:type="dxa"/>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jc w:val="left"/>
                    <w:rPr>
                      <w:rFonts w:hint="eastAsia" w:ascii="Times New Roman" w:hAnsi="Times New Roman" w:eastAsia="宋体" w:cs="Times New Roman"/>
                      <w:kern w:val="2"/>
                      <w:sz w:val="18"/>
                      <w:szCs w:val="18"/>
                      <w:lang w:val="en-US" w:eastAsia="zh-CN" w:bidi="ar-SA"/>
                    </w:rPr>
                  </w:pPr>
                </w:p>
              </w:tc>
              <w:tc>
                <w:tcPr>
                  <w:tcW w:w="1342" w:type="dxa"/>
                  <w:vAlign w:val="center"/>
                </w:tcPr>
                <w:p>
                  <w:pPr>
                    <w:jc w:val="center"/>
                    <w:rPr>
                      <w:rFonts w:hint="eastAsia" w:ascii="宋体" w:hAnsi="宋体" w:eastAsia="宋体" w:cs="Times New Roman"/>
                      <w:kern w:val="2"/>
                      <w:sz w:val="18"/>
                      <w:szCs w:val="18"/>
                      <w:lang w:val="en-US" w:eastAsia="zh-CN" w:bidi="ar-SA"/>
                    </w:rPr>
                  </w:pPr>
                </w:p>
              </w:tc>
              <w:tc>
                <w:tcPr>
                  <w:tcW w:w="2023" w:type="dxa"/>
                  <w:vAlign w:val="center"/>
                </w:tcPr>
                <w:p>
                  <w:pPr>
                    <w:jc w:val="center"/>
                    <w:rPr>
                      <w:rFonts w:hint="eastAsia" w:ascii="宋体" w:hAnsi="宋体" w:eastAsia="宋体" w:cs="Times New Roman"/>
                      <w:kern w:val="2"/>
                      <w:sz w:val="18"/>
                      <w:szCs w:val="18"/>
                      <w:lang w:val="en-US" w:eastAsia="zh-CN" w:bidi="ar-SA"/>
                    </w:rPr>
                  </w:pPr>
                </w:p>
              </w:tc>
              <w:tc>
                <w:tcPr>
                  <w:tcW w:w="1268" w:type="dxa"/>
                </w:tcPr>
                <w:p>
                  <w:pPr>
                    <w:spacing w:before="156" w:beforeLines="50"/>
                    <w:jc w:val="center"/>
                    <w:rPr>
                      <w:rFonts w:hint="default" w:eastAsia="宋体"/>
                      <w:b w:val="0"/>
                      <w:bCs/>
                      <w:sz w:val="21"/>
                      <w:szCs w:val="21"/>
                      <w:lang w:val="en-US" w:eastAsia="zh-CN"/>
                    </w:rPr>
                  </w:pP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p>
              </w:tc>
            </w:tr>
          </w:tbl>
          <w:p>
            <w:pPr>
              <w:pStyle w:val="2"/>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086" w:hRule="atLeast"/>
        </w:trPr>
        <w:tc>
          <w:tcPr>
            <w:tcW w:w="2020" w:type="dxa"/>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采购部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办公室</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pPr>
              <w:pStyle w:val="2"/>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杨磊先生</w:t>
            </w:r>
            <w:r>
              <w:rPr>
                <w:rFonts w:hint="eastAsia"/>
                <w:u w:val="single"/>
              </w:rPr>
              <w:t xml:space="preserve">       </w:t>
            </w:r>
            <w:r>
              <w:rPr>
                <w:rFonts w:hint="eastAsia"/>
                <w:u w:val="single"/>
                <w:lang w:val="en-US" w:eastAsia="zh-CN"/>
              </w:rPr>
              <w:t>刘娟女士（副组长）</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highlight w:val="none"/>
              </w:rPr>
            </w:pPr>
            <w:r>
              <w:rPr>
                <w:rFonts w:hint="eastAsia"/>
                <w:highlight w:val="none"/>
                <w:lang w:val="en-US" w:eastAsia="zh-CN"/>
              </w:rPr>
              <w:t>经询问了解：体系建立以来未发生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并且由食品安全小组牵头组织进行演练，经过评审基本可以达到演练效果，</w:t>
            </w:r>
            <w:r>
              <w:rPr>
                <w:rFonts w:hint="eastAsia"/>
                <w:highlight w:val="none"/>
                <w:u w:val="single"/>
                <w:lang w:val="en-US" w:eastAsia="zh-CN"/>
              </w:rPr>
              <w:t>具体见生产部审核记录</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lang w:val="en-US" w:eastAsia="zh-CN"/>
              </w:rPr>
              <w:t>11</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A3"/>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首次实施管理评审，五一王管理评审跟踪措施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原料价格的变化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体系建立来未发生外部审核，食品安全目标实现、产品安全性控制措施检验合格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12"/>
              <w:rPr>
                <w:rFonts w:hint="default" w:eastAsia="宋体"/>
                <w:lang w:val="en-US" w:eastAsia="zh-CN"/>
              </w:rPr>
            </w:pPr>
            <w:r>
              <w:rPr>
                <w:rFonts w:hint="eastAsia"/>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提供保证承诺</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eastAsia="宋体"/>
                      <w:color w:val="000000"/>
                      <w:szCs w:val="21"/>
                      <w:lang w:eastAsia="zh-CN"/>
                    </w:rPr>
                  </w:pPr>
                  <w:bookmarkStart w:id="1" w:name="_GoBack"/>
                  <w:r>
                    <w:rPr>
                      <w:rFonts w:hint="eastAsia" w:eastAsia="宋体"/>
                      <w:color w:val="000000"/>
                      <w:szCs w:val="21"/>
                      <w:lang w:eastAsia="zh-CN"/>
                    </w:rPr>
                    <w:t>1）加强对各部门食品安全管理体系要求的培训,提高管理水平；责任人：殷宇勤；整改期限：2021.12前；</w:t>
                  </w:r>
                </w:p>
                <w:p>
                  <w:pPr>
                    <w:widowControl/>
                    <w:spacing w:before="40"/>
                    <w:jc w:val="left"/>
                    <w:rPr>
                      <w:rFonts w:hint="eastAsia" w:eastAsia="宋体"/>
                      <w:color w:val="000000"/>
                      <w:szCs w:val="21"/>
                      <w:lang w:eastAsia="zh-CN"/>
                    </w:rPr>
                  </w:pPr>
                  <w:r>
                    <w:rPr>
                      <w:rFonts w:hint="eastAsia" w:eastAsia="宋体"/>
                      <w:color w:val="000000"/>
                      <w:szCs w:val="21"/>
                      <w:lang w:eastAsia="zh-CN"/>
                    </w:rPr>
                    <w:t>2）对各部门运行食品安全管理体系进行严格要求，加强检查和控制，对发现的问题及时采取措施；责任人：殷宇勤；整改期限：2021.12前</w:t>
                  </w:r>
                  <w:bookmarkEnd w:id="1"/>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2"/>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81" w:hRule="atLeast"/>
        </w:trPr>
        <w:tc>
          <w:tcPr>
            <w:tcW w:w="2020" w:type="dxa"/>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企业应不断提高HACCP体系的适宜性、充分性和有效性。</w:t>
            </w:r>
          </w:p>
          <w:p>
            <w:pPr>
              <w:spacing w:line="360" w:lineRule="auto"/>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tc>
        <w:tc>
          <w:tcPr>
            <w:tcW w:w="1585" w:type="dxa"/>
            <w:vMerge w:val="continue"/>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6"/>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94C4B3E"/>
    <w:rsid w:val="0DB258A3"/>
    <w:rsid w:val="0DB265A2"/>
    <w:rsid w:val="0E5F120E"/>
    <w:rsid w:val="0FAE2D98"/>
    <w:rsid w:val="108219C2"/>
    <w:rsid w:val="120C6352"/>
    <w:rsid w:val="12464BA6"/>
    <w:rsid w:val="133F19A9"/>
    <w:rsid w:val="145801E9"/>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2"/>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21</TotalTime>
  <ScaleCrop>false</ScaleCrop>
  <LinksUpToDate>false</LinksUpToDate>
  <CharactersWithSpaces>36321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2022-01-07T01:57:52Z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B149BF0440FF453B9864B95CAAFAE6AA</vt:lpwstr>
  </property>
</Properties>
</file>