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财务部；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王珣    </w:t>
            </w:r>
            <w:r>
              <w:rPr>
                <w:rFonts w:hint="eastAsia"/>
                <w:sz w:val="24"/>
                <w:szCs w:val="24"/>
              </w:rPr>
              <w:t>陪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同人员：张俊贤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周文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远程）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sz w:val="24"/>
                <w:szCs w:val="24"/>
              </w:rPr>
              <w:t>2022年01月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 w:val="24"/>
                <w:szCs w:val="24"/>
                <w:u w:val="none"/>
              </w:rPr>
              <w:t>E/</w:t>
            </w:r>
            <w:r>
              <w:rPr>
                <w:rFonts w:ascii="宋体" w:hAnsi="宋体" w:cs="Arial"/>
                <w:sz w:val="24"/>
                <w:szCs w:val="24"/>
                <w:u w:val="single"/>
              </w:rPr>
              <w:t>OMS: 5.3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  <w:u w:val="single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  <w:u w:val="single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  <w:u w:val="single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  <w:u w:val="single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>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组织的角色、职责和权限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查管理手册5.3.2.3条款规定了部门职责，具体如下：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负责财务工作，认真贯彻化施本公司的质量方针和质量目标。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负责各种报表的制定及上报工作。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负责物品进出公司的核算，协助有关部门对生产成本加以控制。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84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4）</w:t>
            </w:r>
            <w:r>
              <w:rPr>
                <w:rFonts w:ascii="宋体" w:hAnsi="宋体"/>
                <w:sz w:val="24"/>
                <w:szCs w:val="24"/>
              </w:rPr>
              <w:t xml:space="preserve">同政府部门财务上的联系和沟通。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84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5）</w:t>
            </w:r>
            <w:r>
              <w:rPr>
                <w:rFonts w:ascii="宋体" w:hAnsi="宋体"/>
                <w:sz w:val="24"/>
                <w:szCs w:val="24"/>
              </w:rPr>
              <w:t>负责公司同其它单位有关往来业务稽查、计算及工资的发放。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84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6）</w:t>
            </w:r>
            <w:r>
              <w:rPr>
                <w:rFonts w:ascii="宋体" w:hAnsi="宋体"/>
                <w:sz w:val="24"/>
                <w:szCs w:val="24"/>
              </w:rPr>
              <w:t>负责有关报告资料、成本核算的整理。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84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7）</w:t>
            </w:r>
            <w:r>
              <w:rPr>
                <w:rFonts w:ascii="宋体" w:hAnsi="宋体"/>
                <w:sz w:val="24"/>
                <w:szCs w:val="24"/>
              </w:rPr>
              <w:t>负责对部门在体系管理职能过程中涉及的环境因素、危险源的控制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pStyle w:val="1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——其部门负责人表述与文件规定基本一致。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——岗位、职责和权限明确。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ES6.2</w:t>
            </w:r>
          </w:p>
        </w:tc>
        <w:tc>
          <w:tcPr>
            <w:tcW w:w="10004" w:type="dxa"/>
          </w:tcPr>
          <w:p>
            <w:pPr>
              <w:pStyle w:val="14"/>
              <w:spacing w:line="360" w:lineRule="auto"/>
              <w:ind w:firstLine="52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查看“目标、指标、绩效完成情况统计表”，内容显示，截止21.12.30.部门目标均已完成。</w:t>
            </w:r>
          </w:p>
          <w:tbl>
            <w:tblPr>
              <w:tblStyle w:val="7"/>
              <w:tblW w:w="962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"/>
              <w:gridCol w:w="3339"/>
              <w:gridCol w:w="2623"/>
              <w:gridCol w:w="868"/>
              <w:gridCol w:w="1208"/>
              <w:gridCol w:w="8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688" w:type="dxa"/>
                  <w:vMerge w:val="restart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  <w:szCs w:val="24"/>
                    </w:rPr>
                    <w:t>财务部</w:t>
                  </w:r>
                </w:p>
              </w:tc>
              <w:tc>
                <w:tcPr>
                  <w:tcW w:w="333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1、资金使用发放率100%</w:t>
                  </w:r>
                </w:p>
              </w:tc>
              <w:tc>
                <w:tcPr>
                  <w:tcW w:w="2623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实际发放数/应该发放数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eastAsia="zh-TW"/>
                    </w:rPr>
                    <w:t>×100</w:t>
                  </w:r>
                </w:p>
              </w:tc>
              <w:tc>
                <w:tcPr>
                  <w:tcW w:w="8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0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eastAsia="zh-CN"/>
                    </w:rPr>
                    <w:t>2021.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eastAsia="zh-CN"/>
                    </w:rPr>
                    <w:t>.30</w:t>
                  </w:r>
                </w:p>
              </w:tc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688" w:type="dxa"/>
                  <w:vMerge w:val="continue"/>
                  <w:noWrap w:val="0"/>
                  <w:vAlign w:val="center"/>
                </w:tcPr>
                <w:p>
                  <w:pPr>
                    <w:spacing w:line="360" w:lineRule="auto"/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3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2、按规定处置固体废弃物——固体废弃物违规处置率为0</w:t>
                  </w:r>
                </w:p>
              </w:tc>
              <w:tc>
                <w:tcPr>
                  <w:tcW w:w="2623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按实际发生</w:t>
                  </w:r>
                </w:p>
              </w:tc>
              <w:tc>
                <w:tcPr>
                  <w:tcW w:w="8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eastAsia="zh-CN"/>
                    </w:rPr>
                    <w:t>2021.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lang w:eastAsia="zh-CN"/>
                    </w:rPr>
                    <w:t>.30</w:t>
                  </w:r>
                </w:p>
              </w:tc>
              <w:tc>
                <w:tcPr>
                  <w:tcW w:w="89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魏小洪</w:t>
                  </w:r>
                </w:p>
              </w:tc>
            </w:tr>
          </w:tbl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环境因素、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危险源辨识及风险和机遇的评价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ES6.1.2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策划了“环境因素控制程序”和“危险源识别控制程序”，对公司的环境因素及危险源进行控制。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查“环境因素识别评价表”，编制：魏小洪; 审批：陈龙；2021年8月21日；公司按部门及活动过程识别与评价了相关的环境因素，确定出重要环境因素。抽查本部门的环境因素内容如下：</w:t>
            </w:r>
          </w:p>
          <w:p>
            <w:pPr>
              <w:pStyle w:val="14"/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object>
                <v:shape id="_x0000_i1025" o:spt="75" type="#_x0000_t75" style="height:64.55pt;width:489.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  <w10:wrap type="none"/>
                  <w10:anchorlock/>
                </v:shape>
                <o:OLEObject Type="Embed" ProgID="Excel.Sheet.8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查“重要环境因素清单”，编制：魏小洪; 审批：陈龙；2021年8月21日；识别的重要环境因素不涉及到本部门。</w:t>
            </w:r>
          </w:p>
          <w:p>
            <w:pPr>
              <w:pStyle w:val="3"/>
              <w:bidi w:val="0"/>
              <w:spacing w:line="360" w:lineRule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查“危险源辨识评价表”，编制：魏小洪; 审批：陈龙；2021年8月21日；公司按部门及活动过程、区域识别与评价了相关的危险源，确定出不可接受风险。抽查本部门的危险源识别内容如下：</w:t>
            </w:r>
          </w:p>
          <w:p>
            <w:pPr>
              <w:pStyle w:val="3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>
                <v:shape id="_x0000_i1026" o:spt="75" type="#_x0000_t75" style="height:46.15pt;width:488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Excel.Sheet.8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查“不可接受风险清单”，编制：魏小洪; 审批：陈龙；2021年8月21日；识别的不可接受风险不涉及到本部门。</w:t>
            </w:r>
          </w:p>
          <w:p>
            <w:pPr>
              <w:pStyle w:val="3"/>
              <w:bidi w:val="0"/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运行策划和控制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负责人介绍，本部门的环境、安全运行控制的按照主控部门的策划执行；主要内容包括：</w:t>
            </w:r>
          </w:p>
          <w:p>
            <w:pPr>
              <w:pStyle w:val="3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——固废管控：办公室配备有垃圾篓，下班后倾倒在指定处置点。</w:t>
            </w:r>
          </w:p>
          <w:p>
            <w:pPr>
              <w:pStyle w:val="3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——废水管控：办公、生活废水通过市政管道排放。</w:t>
            </w:r>
          </w:p>
          <w:p>
            <w:pPr>
              <w:pStyle w:val="3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——噪音管控：办公室基本无噪音。</w:t>
            </w:r>
          </w:p>
          <w:p>
            <w:pPr>
              <w:pStyle w:val="3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——废气管控：办公室基本无废气。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出示有本年度</w:t>
            </w:r>
            <w:r>
              <w:rPr>
                <w:rFonts w:hint="eastAsia"/>
                <w:sz w:val="24"/>
                <w:szCs w:val="24"/>
              </w:rPr>
              <w:t>质量、环境、职业健康安全资金投入统计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清单,具体内容如下：</w:t>
            </w:r>
          </w:p>
          <w:p>
            <w:pPr>
              <w:snapToGrid w:val="0"/>
              <w:spacing w:line="360" w:lineRule="auto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一、质量、环境、职业健康安全教育培训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1）车间经理继续教育22×300=6600.00元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2）新增质检员22×600=13200.00元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3）年检继续教育费42×300=12600.00元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4）交通费及学习期间工资：91×100=9100.00元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5）环境职业健康安全内审员  400×4=1200.00元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小计：4.27万元</w:t>
            </w:r>
          </w:p>
          <w:p>
            <w:pPr>
              <w:spacing w:line="360" w:lineRule="auto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二、环境、职业健康安全管理方案资金使用情况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1）危废分类回收及处置费5000.00元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2）固废分类回收及处置费3000.00元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3）环境（噪声）监测费用4000.00元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小计：  1.2  万元</w:t>
            </w:r>
          </w:p>
          <w:p>
            <w:pPr>
              <w:spacing w:line="360" w:lineRule="auto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三、应急设施费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1）止血带、药品、口罩及急救箱1650元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2）灭火器、消防栓、应急灯等7.6万元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3）培训演练费1300元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4) 意外伤害保险费3.6万元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小计：11.495万元</w:t>
            </w:r>
          </w:p>
          <w:p>
            <w:pPr>
              <w:spacing w:line="360" w:lineRule="auto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四、安全防护用品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1）工作鞋：138×40=5000.00元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2）工作手套：138×40=3000.00元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3）工作帽：320×15=4000.00元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5）配电箱：1000×5=5000.00元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小计：1.7万元</w:t>
            </w:r>
          </w:p>
          <w:p>
            <w:pPr>
              <w:spacing w:line="360" w:lineRule="auto"/>
              <w:outlineLvl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五、养老保险医疗保险生育保险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1）职工社会保险缴费：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2）职工医疗保险缴费：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3）职工生育保险缴费：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4）职工失业保险缴费：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小计：3万元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以上五项合计：21.665万元 </w:t>
            </w:r>
          </w:p>
          <w:p>
            <w:pPr>
              <w:pStyle w:val="3"/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应急准备和响应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ES8.2</w:t>
            </w:r>
          </w:p>
        </w:tc>
        <w:tc>
          <w:tcPr>
            <w:tcW w:w="10004" w:type="dxa"/>
          </w:tcPr>
          <w:p>
            <w:pPr>
              <w:pStyle w:val="15"/>
              <w:spacing w:line="360" w:lineRule="auto"/>
              <w:ind w:firstLine="480" w:firstLineChars="200"/>
              <w:rPr>
                <w:rFonts w:hint="eastAsia" w:eastAsia="宋体" w:cs="Times New Roman"/>
                <w:sz w:val="24"/>
                <w:szCs w:val="24"/>
                <w:highlight w:val="none"/>
              </w:rPr>
            </w:pPr>
            <w:bookmarkStart w:id="2" w:name="_GoBack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highlight w:val="none"/>
              </w:rPr>
              <w:t>部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门</w:t>
            </w:r>
            <w:r>
              <w:rPr>
                <w:rFonts w:hint="eastAsia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</w:rPr>
              <w:t>由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生产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</w:rPr>
              <w:t>部组织的</w:t>
            </w:r>
            <w:r>
              <w:rPr>
                <w:sz w:val="24"/>
                <w:szCs w:val="24"/>
                <w:highlight w:val="none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6.10</w:t>
            </w:r>
            <w:r>
              <w:rPr>
                <w:sz w:val="24"/>
                <w:szCs w:val="24"/>
                <w:highlight w:val="none"/>
              </w:rPr>
              <w:t>.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</w:rPr>
              <w:t>“火灾事故应急演练”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</w:rPr>
              <w:t>对演习效果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进行了</w:t>
            </w:r>
            <w:r>
              <w:rPr>
                <w:rFonts w:hint="eastAsia" w:eastAsia="宋体" w:cs="Times New Roman"/>
                <w:sz w:val="24"/>
                <w:szCs w:val="24"/>
                <w:highlight w:val="none"/>
              </w:rPr>
              <w:t>评价。</w:t>
            </w:r>
          </w:p>
          <w:bookmarkEnd w:id="2"/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A0F20"/>
    <w:multiLevelType w:val="multilevel"/>
    <w:tmpl w:val="041A0F20"/>
    <w:lvl w:ilvl="0" w:tentative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1F6062"/>
    <w:rsid w:val="09AC3F5F"/>
    <w:rsid w:val="0B1C660E"/>
    <w:rsid w:val="0B237087"/>
    <w:rsid w:val="0BDA7CCB"/>
    <w:rsid w:val="0CA94494"/>
    <w:rsid w:val="0CED24A5"/>
    <w:rsid w:val="16411343"/>
    <w:rsid w:val="1BA01B1B"/>
    <w:rsid w:val="351A4295"/>
    <w:rsid w:val="37DE57F0"/>
    <w:rsid w:val="383303EA"/>
    <w:rsid w:val="391B5D7F"/>
    <w:rsid w:val="3CB46AF1"/>
    <w:rsid w:val="3E171D20"/>
    <w:rsid w:val="4427077C"/>
    <w:rsid w:val="4E726A98"/>
    <w:rsid w:val="50027F99"/>
    <w:rsid w:val="53163C4B"/>
    <w:rsid w:val="5F6E0561"/>
    <w:rsid w:val="75053AEC"/>
    <w:rsid w:val="78686692"/>
    <w:rsid w:val="7C0641F8"/>
    <w:rsid w:val="7E276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3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4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24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5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2.bin"/><Relationship Id="rId7" Type="http://schemas.openxmlformats.org/officeDocument/2006/relationships/image" Target="media/image2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2022-01-28T12:20:25Z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2052-11.1.0.11294</vt:lpwstr>
  </property>
</Properties>
</file>