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6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计划财务部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主管领导：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吴雪芳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463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温红玲（远程）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2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46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EO: 5.3组织的岗位、职责和权限、6.2环境/职业健康安全目标、8.1运行策划和控制、</w:t>
            </w:r>
            <w:r>
              <w:rPr>
                <w:rFonts w:hint="eastAsia"/>
                <w:lang w:val="en-US" w:eastAsia="zh-CN"/>
              </w:rPr>
              <w:t>8.2应急准备和响应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O5.4工作人员的协商和参与</w:t>
            </w:r>
          </w:p>
        </w:tc>
        <w:tc>
          <w:tcPr>
            <w:tcW w:w="112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1046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部门负责人：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吴雪芳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1)负责财务工作，认真贯彻实施本公司的质量方针和质量目标。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2)负责各种报表的制定及上报工作。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3)负责物品进出公司的核算，协助有关部门对生产成本加以控制。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4)同政府部门财务上的联系和沟通。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5)负责公司同其它单位有关往来业务稽查、计算及工资的发放。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6)负责有关报告资料、成本核算的整理。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7)负责对部门在体系管理职能过程中涉及的环境因素、危险源的控制和体系的持续改进。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询问负责人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吴雪芳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，职责明确。</w:t>
            </w:r>
          </w:p>
        </w:tc>
        <w:tc>
          <w:tcPr>
            <w:tcW w:w="1126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工作人员参与和协商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5.4</w:t>
            </w:r>
          </w:p>
        </w:tc>
        <w:tc>
          <w:tcPr>
            <w:tcW w:w="10463" w:type="dxa"/>
            <w:vAlign w:val="center"/>
          </w:tcPr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与负责人吴雪芳沟通，公司任命刘勇为员工代表，本部门配合员工代表，主要参与有：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1)参与公司管理方针的制定、实施和评审；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2)参与审议有关职业健康和安全的重大事宜；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3)参与公司职业健康安全事故的统计,报告和调查处理情况的监督；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4)对本部门劳动保护执行情况进行监督,维护员工的合法权益；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5)对改善员工的工作条件提出建议；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6)履行群众监督检查职责，向领导反映公司管理体系运行状况；</w:t>
            </w:r>
          </w:p>
          <w:p>
            <w:pPr>
              <w:bidi w:val="0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7)协助管理者代表推进管理体系的有效运行。</w:t>
            </w:r>
          </w:p>
          <w:p>
            <w:pPr>
              <w:bidi w:val="0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目前协商和参与渠道畅通，未发生任何对员工的建议作出回应的障碍或报复、威胁。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计划财务部</w:t>
            </w:r>
            <w:r>
              <w:rPr>
                <w:rFonts w:hint="eastAsia" w:ascii="宋体" w:hAnsi="宋体" w:cs="宋体"/>
                <w:sz w:val="21"/>
                <w:szCs w:val="21"/>
              </w:rPr>
              <w:t>涉及的目标及实现情况是：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1、资金使用计划到位率100%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100%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2、成本计划编制、实施、监督100%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100%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3、合同审查，确保资金安全率100%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100%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4、工资、奖金分配审查、监督保证率100%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100%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5、职业健康安全保证资金100%到位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100%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6、杜绝工伤事故，轻伤休工率为零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0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日统计结果，目标均已完成。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63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/>
                <w:sz w:val="21"/>
                <w:szCs w:val="21"/>
              </w:rPr>
              <w:t>运行控制程序等。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eastAsia="zh-CN"/>
              </w:rPr>
              <w:t>仓储部</w:t>
            </w:r>
            <w:r>
              <w:rPr>
                <w:rFonts w:hint="eastAsia"/>
                <w:sz w:val="21"/>
                <w:szCs w:val="21"/>
              </w:rPr>
              <w:t>做到人走灯灭，电脑长时间不用时关机，下班前要关闭电源；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办公过程产生的固废按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要求放到指定地点；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远程查看</w:t>
            </w:r>
            <w:r>
              <w:rPr>
                <w:rFonts w:hint="eastAsia"/>
                <w:sz w:val="21"/>
                <w:szCs w:val="21"/>
              </w:rPr>
              <w:t>现场配置了灭火器，无火灾、触电隐患，废弃物无混放现象。</w:t>
            </w:r>
          </w:p>
          <w:p>
            <w:pPr>
              <w:pStyle w:val="13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提供《2021年度质量、环境、职业健康安全资金投入统计情况》及完税证明：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质量、环境、职业健康安全教育培训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1）车间经理继续教育   3000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2）新增质检员         39200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3）年检继续教育费     2000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4）交通费及学习期间工资：4500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5）环境职业健康安全内审员 4000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小计：52700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二、环境、职业健康安全管理方案资金使用情况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1）危废分类回收及处置费 12000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2）固废分类回收及处置费 5000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3）环境（噪声）监测费用元 4500元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小计：21500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三、应急设施费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3463925</wp:posOffset>
                  </wp:positionH>
                  <wp:positionV relativeFrom="paragraph">
                    <wp:posOffset>40005</wp:posOffset>
                  </wp:positionV>
                  <wp:extent cx="2965450" cy="1934210"/>
                  <wp:effectExtent l="0" t="0" r="6350" b="8890"/>
                  <wp:wrapNone/>
                  <wp:docPr id="3" name="图片 3" descr="16415464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154648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t>1）止血带、药品、口罩及急救箱   1358.5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2）灭火器、消防栓、应急灯等   6200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3）培训演练费    3000元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4) 意外伤害保险费   9000元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小计：19558.5元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3549015</wp:posOffset>
                  </wp:positionH>
                  <wp:positionV relativeFrom="paragraph">
                    <wp:posOffset>275590</wp:posOffset>
                  </wp:positionV>
                  <wp:extent cx="2851785" cy="1835150"/>
                  <wp:effectExtent l="0" t="0" r="5715" b="6350"/>
                  <wp:wrapNone/>
                  <wp:docPr id="2" name="图片 2" descr="16415463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15463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t>四、安全防护用品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1）工作鞋：982 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2）工作手套： 1860 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3）工作帽：1800元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5）配电箱：2000 元</w:t>
            </w:r>
          </w:p>
          <w:p>
            <w:pPr>
              <w:pStyle w:val="1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小计：6642元</w:t>
            </w:r>
          </w:p>
          <w:p>
            <w:pPr>
              <w:pStyle w:val="13"/>
              <w:spacing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部门运行控制基本能符合标准规定的要求。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计划财务部</w:t>
            </w:r>
            <w:r>
              <w:rPr>
                <w:rFonts w:hint="eastAsia" w:ascii="宋体" w:hAnsi="宋体" w:cs="宋体"/>
                <w:sz w:val="21"/>
                <w:szCs w:val="21"/>
              </w:rPr>
              <w:t>按照策划的SLJC-CX-2021-14《应急准备和响应控制程序》等，明确了相应的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应急准备和响应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21"/>
                <w:szCs w:val="21"/>
              </w:rPr>
              <w:t>现场查看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计划财务部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查参加了2021年5月18日公司组织的消防火灾应急演练，演练结果评价：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应急准备和响应实施方案具有可操作性，应急求援人员已基本掌握该方案，能够应对突发事件。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XewuhMUBAACFAwAADgAAAGRycy9lMm9Eb2MueG1srVPN&#10;jtMwEL4j8Q6W7zRp2V1B1HQlqMoFAdIuD+A6TmLJf5pxm/QF4A04ceHOc/U5GDuhLMtlD+SQjOfn&#10;m/m+cda3ozXsqAC1dzVfLkrOlJO+0a6r+ef73YtXnGEUrhHGO1Xzk0J+u3n+bD2ESq18702jgBGI&#10;w2oINe9jDFVRoOyVFbjwQTkKth6siHSErmhADIRuTbEqy5ti8NAE8FIhknc7BfmMCE8B9G2rpdp6&#10;ebDKxQkVlBGRKGGvA/JNnrZtlYwf2xZVZKbmxDTmNzUhe5/exWYtqg5E6LWcRxBPGeERJyu0o6YX&#10;qK2Igh1A/wNltQSPvo0L6W0xEcmKEItl+Uibu14ElbmQ1BguouP/g5Ufjp+A6YZuAmdOWFr4+dvX&#10;8/ef5x9f2DLJMwSsKOsuUF4c3/gxpc5+JGdiPbZg05f4MIqTuKeLuGqMTKail+XV6jWFJMVW1zfX&#10;V1n94k91AIzvlLcsGTUHWl7WVBzfY6SOlPo7JTVDb3Sz08bkA3T7twbYUdCid/lJQ1LJX2nGpWTn&#10;U9kUnjwqX5W5TWI8MUtWHPfjTHfvmxOpcAigu54mzDoUKYm2k5vNNymt/+GZ7Id/z+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4RNgAAAALAQAADwAAAAAAAAABACAAAAAiAAAAZHJzL2Rvd25y&#10;ZXYueG1sUEsBAhQAFAAAAAgAh07iQF3sLoTFAQAAhQ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rPr>
        <w:rStyle w:val="17"/>
        <w:rFonts w:hint="default"/>
        <w:w w:val="9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DBC58"/>
    <w:multiLevelType w:val="singleLevel"/>
    <w:tmpl w:val="E2EDB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7C51645"/>
    <w:rsid w:val="08C416C3"/>
    <w:rsid w:val="108219C2"/>
    <w:rsid w:val="11F34DC7"/>
    <w:rsid w:val="145C70AA"/>
    <w:rsid w:val="14986BE8"/>
    <w:rsid w:val="17CE7E68"/>
    <w:rsid w:val="183335D6"/>
    <w:rsid w:val="1E401394"/>
    <w:rsid w:val="23145CA5"/>
    <w:rsid w:val="273565DA"/>
    <w:rsid w:val="2A5F0DF4"/>
    <w:rsid w:val="2D02575D"/>
    <w:rsid w:val="2F1403FE"/>
    <w:rsid w:val="2F3A3BDD"/>
    <w:rsid w:val="2FA31782"/>
    <w:rsid w:val="31684A32"/>
    <w:rsid w:val="32467529"/>
    <w:rsid w:val="364A04B2"/>
    <w:rsid w:val="37046FAB"/>
    <w:rsid w:val="3E691DE9"/>
    <w:rsid w:val="3F2C52F0"/>
    <w:rsid w:val="3F93612B"/>
    <w:rsid w:val="484F2050"/>
    <w:rsid w:val="4A607AC0"/>
    <w:rsid w:val="4C46376A"/>
    <w:rsid w:val="4CF66F3E"/>
    <w:rsid w:val="4FF0324F"/>
    <w:rsid w:val="545C1D7C"/>
    <w:rsid w:val="550B5550"/>
    <w:rsid w:val="572823EA"/>
    <w:rsid w:val="5C510F8D"/>
    <w:rsid w:val="5EA12B9A"/>
    <w:rsid w:val="67AB0BF9"/>
    <w:rsid w:val="68093B71"/>
    <w:rsid w:val="6C5B796C"/>
    <w:rsid w:val="6C89137E"/>
    <w:rsid w:val="79C45B4A"/>
    <w:rsid w:val="7AC758F2"/>
    <w:rsid w:val="7DC16C3E"/>
    <w:rsid w:val="7E723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0"/>
    <w:pPr>
      <w:spacing w:line="420" w:lineRule="exact"/>
    </w:pPr>
    <w:rPr>
      <w:sz w:val="24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szCs w:val="20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Char"/>
    <w:basedOn w:val="12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741</Words>
  <Characters>4227</Characters>
  <Lines>35</Lines>
  <Paragraphs>9</Paragraphs>
  <TotalTime>36</TotalTime>
  <ScaleCrop>false</ScaleCrop>
  <LinksUpToDate>false</LinksUpToDate>
  <CharactersWithSpaces>4959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2022-01-08T09:45:01Z</dcterms:modified>
  <cp:revision>1043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4CA20597C4704FFE93AC1AA31A5E91F4</vt:lpwstr>
  </property>
</Properties>
</file>