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1360-2021-EO</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北京华科众合科技有限公司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6" w:name="审核日期"/>
            <w:r>
              <w:rPr>
                <w:rFonts w:hint="eastAsia"/>
                <w:b/>
                <w:sz w:val="21"/>
                <w:szCs w:val="21"/>
              </w:rPr>
              <w:t>2022年01月06日 下午至2022年01月06日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7" w:name="Q勾选Add1"/>
            <w:r>
              <w:rPr>
                <w:rFonts w:hint="eastAsia" w:ascii="宋体" w:hAnsi="宋体"/>
                <w:b/>
                <w:color w:val="000000"/>
                <w:szCs w:val="21"/>
              </w:rPr>
              <w:t>□</w:t>
            </w:r>
            <w:bookmarkEnd w:id="7"/>
            <w:r>
              <w:rPr>
                <w:rFonts w:ascii="宋体" w:hAnsi="宋体"/>
                <w:b/>
                <w:color w:val="000000"/>
                <w:szCs w:val="21"/>
              </w:rPr>
              <w:t>QMS/</w:t>
            </w:r>
            <w:bookmarkStart w:id="8" w:name="QJ勾选"/>
            <w:bookmarkStart w:id="9" w:name="QJ勾选Add1"/>
            <w:r>
              <w:rPr>
                <w:rFonts w:hint="eastAsia" w:ascii="宋体" w:hAnsi="宋体"/>
                <w:b/>
                <w:color w:val="000000"/>
                <w:szCs w:val="21"/>
              </w:rPr>
              <w:t>□</w:t>
            </w:r>
            <w:bookmarkEnd w:id="8"/>
            <w:bookmarkEnd w:id="9"/>
            <w:r>
              <w:rPr>
                <w:rFonts w:hint="eastAsia" w:ascii="宋体" w:hAnsi="宋体"/>
                <w:b/>
                <w:color w:val="000000"/>
                <w:szCs w:val="21"/>
              </w:rPr>
              <w:t>5</w:t>
            </w:r>
            <w:r>
              <w:rPr>
                <w:rFonts w:ascii="宋体" w:hAnsi="宋体"/>
                <w:b/>
                <w:color w:val="000000"/>
                <w:szCs w:val="21"/>
              </w:rPr>
              <w:t>0430/</w:t>
            </w:r>
            <w:bookmarkStart w:id="10" w:name="E勾选Add1"/>
            <w:r>
              <w:rPr>
                <w:rFonts w:hint="eastAsia" w:ascii="宋体" w:hAnsi="宋体"/>
                <w:b/>
                <w:color w:val="000000"/>
                <w:szCs w:val="21"/>
              </w:rPr>
              <w:t>■</w:t>
            </w:r>
            <w:bookmarkEnd w:id="10"/>
            <w:r>
              <w:rPr>
                <w:rFonts w:ascii="宋体" w:hAnsi="宋体"/>
                <w:b/>
                <w:color w:val="000000"/>
                <w:szCs w:val="21"/>
              </w:rPr>
              <w:t>EMS/</w:t>
            </w:r>
            <w:bookmarkStart w:id="11" w:name="S勾选Add1"/>
            <w:r>
              <w:rPr>
                <w:rFonts w:hint="eastAsia" w:ascii="宋体" w:hAnsi="宋体"/>
                <w:b/>
                <w:color w:val="000000"/>
                <w:szCs w:val="21"/>
              </w:rPr>
              <w:t>■</w:t>
            </w:r>
            <w:bookmarkEnd w:id="11"/>
            <w:r>
              <w:rPr>
                <w:rFonts w:ascii="宋体" w:hAnsi="宋体"/>
                <w:b/>
                <w:color w:val="000000"/>
                <w:szCs w:val="21"/>
              </w:rPr>
              <w:t>OHSMS/</w:t>
            </w:r>
            <w:bookmarkStart w:id="12" w:name="EnMS勾选Add1"/>
            <w:r>
              <w:rPr>
                <w:rFonts w:hint="eastAsia" w:ascii="宋体" w:hAnsi="宋体"/>
                <w:b/>
                <w:color w:val="000000"/>
                <w:szCs w:val="21"/>
              </w:rPr>
              <w:t>□</w:t>
            </w:r>
            <w:bookmarkEnd w:id="12"/>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bookmarkStart w:id="19" w:name="EnMS勾选Add2"/>
            <w:r>
              <w:rPr>
                <w:rFonts w:hint="eastAsia" w:ascii="宋体" w:hAnsi="宋体"/>
                <w:b/>
                <w:color w:val="000000"/>
                <w:szCs w:val="21"/>
                <w:lang w:val="de-DE"/>
              </w:rPr>
              <w:t>□</w:t>
            </w:r>
            <w:bookmarkEnd w:id="19"/>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A3"/>
            </w:r>
            <w:r>
              <w:rPr>
                <w:rFonts w:hint="eastAsia" w:ascii="宋体"/>
                <w:b/>
                <w:color w:val="0000FF"/>
                <w:szCs w:val="21"/>
              </w:rPr>
              <w:t>智能手机□手持设备</w:t>
            </w:r>
            <w:r>
              <w:rPr>
                <w:rFonts w:hint="eastAsia" w:ascii="宋体"/>
                <w:b/>
                <w:color w:val="0000FF"/>
                <w:szCs w:val="21"/>
              </w:rPr>
              <w:sym w:font="Wingdings 2" w:char="00A3"/>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540"/>
        <w:gridCol w:w="260"/>
        <w:gridCol w:w="500"/>
        <w:gridCol w:w="329"/>
        <w:gridCol w:w="711"/>
        <w:gridCol w:w="1600"/>
        <w:gridCol w:w="22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10"/>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8" w:type="dxa"/>
            <w:vAlign w:val="center"/>
          </w:tcPr>
          <w:p>
            <w:pPr>
              <w:spacing w:line="240" w:lineRule="exact"/>
              <w:jc w:val="center"/>
              <w:rPr>
                <w:b/>
                <w:color w:val="000000"/>
                <w:szCs w:val="21"/>
              </w:rPr>
            </w:pPr>
            <w:r>
              <w:rPr>
                <w:rFonts w:hint="eastAsia"/>
                <w:b/>
                <w:color w:val="000000"/>
                <w:szCs w:val="21"/>
              </w:rPr>
              <w:t>姓名</w:t>
            </w:r>
          </w:p>
        </w:tc>
        <w:tc>
          <w:tcPr>
            <w:tcW w:w="800" w:type="dxa"/>
            <w:gridSpan w:val="2"/>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500" w:type="dxa"/>
            <w:vAlign w:val="center"/>
          </w:tcPr>
          <w:p>
            <w:pPr>
              <w:spacing w:line="240" w:lineRule="exact"/>
              <w:jc w:val="center"/>
              <w:rPr>
                <w:b/>
                <w:color w:val="000000"/>
                <w:szCs w:val="21"/>
              </w:rPr>
            </w:pPr>
            <w:r>
              <w:rPr>
                <w:rFonts w:hint="eastAsia"/>
                <w:szCs w:val="21"/>
              </w:rPr>
              <w:t>性别</w:t>
            </w:r>
          </w:p>
        </w:tc>
        <w:tc>
          <w:tcPr>
            <w:tcW w:w="2640" w:type="dxa"/>
            <w:gridSpan w:val="3"/>
            <w:vAlign w:val="center"/>
          </w:tcPr>
          <w:p>
            <w:pPr>
              <w:spacing w:line="240" w:lineRule="exact"/>
              <w:jc w:val="center"/>
              <w:rPr>
                <w:b/>
                <w:color w:val="000000"/>
                <w:szCs w:val="21"/>
              </w:rPr>
            </w:pPr>
            <w:r>
              <w:rPr>
                <w:rFonts w:hint="eastAsia"/>
                <w:szCs w:val="21"/>
              </w:rPr>
              <w:t>审核员注册证书号</w:t>
            </w:r>
          </w:p>
        </w:tc>
        <w:tc>
          <w:tcPr>
            <w:tcW w:w="3410" w:type="dxa"/>
            <w:gridSpan w:val="2"/>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8" w:type="dxa"/>
            <w:vAlign w:val="center"/>
          </w:tcPr>
          <w:p>
            <w:pPr>
              <w:spacing w:line="240" w:lineRule="exact"/>
              <w:jc w:val="center"/>
              <w:rPr>
                <w:b/>
                <w:color w:val="000000"/>
                <w:szCs w:val="21"/>
              </w:rPr>
            </w:pPr>
            <w:r>
              <w:rPr>
                <w:b/>
                <w:color w:val="000000"/>
                <w:szCs w:val="21"/>
              </w:rPr>
              <w:t>张磊</w:t>
            </w:r>
          </w:p>
        </w:tc>
        <w:tc>
          <w:tcPr>
            <w:tcW w:w="800" w:type="dxa"/>
            <w:gridSpan w:val="2"/>
            <w:vAlign w:val="center"/>
          </w:tcPr>
          <w:p>
            <w:pPr>
              <w:spacing w:line="240" w:lineRule="exact"/>
              <w:jc w:val="center"/>
              <w:rPr>
                <w:szCs w:val="21"/>
              </w:rPr>
            </w:pPr>
            <w:r>
              <w:rPr>
                <w:szCs w:val="21"/>
              </w:rPr>
              <w:t>组长</w:t>
            </w:r>
          </w:p>
        </w:tc>
        <w:tc>
          <w:tcPr>
            <w:tcW w:w="500" w:type="dxa"/>
            <w:vAlign w:val="center"/>
          </w:tcPr>
          <w:p>
            <w:pPr>
              <w:spacing w:line="240" w:lineRule="exact"/>
              <w:jc w:val="center"/>
              <w:rPr>
                <w:b/>
                <w:color w:val="000000"/>
                <w:szCs w:val="21"/>
              </w:rPr>
            </w:pPr>
            <w:r>
              <w:rPr>
                <w:b/>
                <w:color w:val="000000"/>
                <w:szCs w:val="21"/>
              </w:rPr>
              <w:t>男</w:t>
            </w:r>
          </w:p>
        </w:tc>
        <w:tc>
          <w:tcPr>
            <w:tcW w:w="2640" w:type="dxa"/>
            <w:gridSpan w:val="3"/>
            <w:vAlign w:val="center"/>
          </w:tcPr>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3410" w:type="dxa"/>
            <w:gridSpan w:val="2"/>
            <w:vAlign w:val="center"/>
          </w:tcPr>
          <w:p>
            <w:pPr>
              <w:spacing w:line="240" w:lineRule="exact"/>
              <w:jc w:val="center"/>
              <w:rPr>
                <w:b/>
                <w:color w:val="000000"/>
                <w:szCs w:val="21"/>
              </w:rPr>
            </w:pPr>
            <w:r>
              <w:rPr>
                <w:b/>
                <w:color w:val="000000"/>
                <w:szCs w:val="21"/>
              </w:rPr>
              <w:t>E:33.02.01,33.02.02,35.04.02</w:t>
            </w:r>
          </w:p>
          <w:p>
            <w:pPr>
              <w:spacing w:line="240" w:lineRule="exact"/>
              <w:jc w:val="center"/>
              <w:rPr>
                <w:b/>
                <w:color w:val="000000"/>
                <w:szCs w:val="21"/>
              </w:rPr>
            </w:pPr>
            <w:r>
              <w:rPr>
                <w:b/>
                <w:color w:val="000000"/>
                <w:szCs w:val="21"/>
              </w:rPr>
              <w:t>O:33.02.01,33.02.02,35.04.02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8" w:type="dxa"/>
            <w:vAlign w:val="center"/>
          </w:tcPr>
          <w:p>
            <w:pPr>
              <w:spacing w:line="240" w:lineRule="exact"/>
              <w:jc w:val="center"/>
              <w:rPr>
                <w:rFonts w:hint="default" w:eastAsia="宋体"/>
                <w:b/>
                <w:color w:val="000000"/>
                <w:szCs w:val="21"/>
                <w:lang w:val="en-US" w:eastAsia="zh-CN"/>
              </w:rPr>
            </w:pPr>
            <w:r>
              <w:rPr>
                <w:b/>
                <w:color w:val="000000"/>
                <w:szCs w:val="21"/>
              </w:rPr>
              <w:t>李雅静</w:t>
            </w:r>
          </w:p>
        </w:tc>
        <w:tc>
          <w:tcPr>
            <w:tcW w:w="800" w:type="dxa"/>
            <w:gridSpan w:val="2"/>
            <w:vAlign w:val="center"/>
          </w:tcPr>
          <w:p>
            <w:pPr>
              <w:spacing w:line="240" w:lineRule="exact"/>
              <w:jc w:val="center"/>
              <w:rPr>
                <w:szCs w:val="21"/>
              </w:rPr>
            </w:pPr>
            <w:r>
              <w:rPr>
                <w:szCs w:val="21"/>
              </w:rPr>
              <w:t>组员</w:t>
            </w:r>
          </w:p>
        </w:tc>
        <w:tc>
          <w:tcPr>
            <w:tcW w:w="500" w:type="dxa"/>
            <w:vAlign w:val="center"/>
          </w:tcPr>
          <w:p>
            <w:pPr>
              <w:spacing w:line="240" w:lineRule="exact"/>
              <w:jc w:val="center"/>
              <w:rPr>
                <w:b/>
                <w:color w:val="000000"/>
                <w:szCs w:val="21"/>
              </w:rPr>
            </w:pPr>
            <w:r>
              <w:rPr>
                <w:b/>
                <w:color w:val="000000"/>
                <w:szCs w:val="21"/>
              </w:rPr>
              <w:t>女</w:t>
            </w:r>
          </w:p>
        </w:tc>
        <w:tc>
          <w:tcPr>
            <w:tcW w:w="2640" w:type="dxa"/>
            <w:gridSpan w:val="3"/>
            <w:vAlign w:val="center"/>
          </w:tcPr>
          <w:p>
            <w:pPr>
              <w:spacing w:line="240" w:lineRule="exact"/>
              <w:jc w:val="center"/>
              <w:rPr>
                <w:b/>
                <w:color w:val="000000"/>
                <w:szCs w:val="21"/>
              </w:rPr>
            </w:pPr>
            <w:r>
              <w:rPr>
                <w:b/>
                <w:color w:val="000000"/>
                <w:szCs w:val="21"/>
              </w:rPr>
              <w:t>2020-N1EMS-1218164</w:t>
            </w:r>
          </w:p>
          <w:p>
            <w:pPr>
              <w:spacing w:line="240" w:lineRule="exact"/>
              <w:jc w:val="center"/>
              <w:rPr>
                <w:b/>
                <w:color w:val="000000"/>
                <w:szCs w:val="21"/>
              </w:rPr>
            </w:pPr>
            <w:r>
              <w:rPr>
                <w:b/>
                <w:color w:val="000000"/>
                <w:szCs w:val="21"/>
              </w:rPr>
              <w:t>2021-N1OHSMS-2218164</w:t>
            </w:r>
          </w:p>
        </w:tc>
        <w:tc>
          <w:tcPr>
            <w:tcW w:w="3410" w:type="dxa"/>
            <w:gridSpan w:val="2"/>
            <w:vAlign w:val="center"/>
          </w:tcPr>
          <w:p>
            <w:pPr>
              <w:spacing w:line="240" w:lineRule="exact"/>
              <w:jc w:val="center"/>
              <w:rPr>
                <w:b/>
                <w:color w:val="000000"/>
                <w:szCs w:val="21"/>
              </w:rPr>
            </w:pPr>
            <w:r>
              <w:rPr>
                <w:b/>
                <w:color w:val="000000"/>
                <w:szCs w:val="21"/>
              </w:rPr>
              <w:t>E:33.02.01,33.02.02,35.04.02</w:t>
            </w:r>
          </w:p>
          <w:p>
            <w:pPr>
              <w:spacing w:line="240" w:lineRule="exact"/>
              <w:jc w:val="center"/>
              <w:rPr>
                <w:b/>
                <w:color w:val="000000"/>
                <w:szCs w:val="21"/>
              </w:rPr>
            </w:pPr>
            <w:r>
              <w:rPr>
                <w:b/>
                <w:color w:val="000000"/>
                <w:szCs w:val="21"/>
              </w:rPr>
              <w:t>O:33.02.01,33.02.02,35.04.02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10"/>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gridSpan w:val="2"/>
            <w:vAlign w:val="center"/>
          </w:tcPr>
          <w:p>
            <w:pPr>
              <w:rPr>
                <w:b/>
                <w:color w:val="000000"/>
                <w:szCs w:val="21"/>
              </w:rPr>
            </w:pPr>
            <w:r>
              <w:rPr>
                <w:rFonts w:hint="eastAsia"/>
                <w:b/>
                <w:color w:val="000000"/>
                <w:szCs w:val="21"/>
              </w:rPr>
              <w:t>姓名</w:t>
            </w:r>
          </w:p>
        </w:tc>
        <w:tc>
          <w:tcPr>
            <w:tcW w:w="1089" w:type="dxa"/>
            <w:gridSpan w:val="3"/>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gridSpan w:val="2"/>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gridSpan w:val="2"/>
            <w:vAlign w:val="center"/>
          </w:tcPr>
          <w:p>
            <w:pPr>
              <w:rPr>
                <w:b/>
                <w:color w:val="000000"/>
                <w:szCs w:val="21"/>
              </w:rPr>
            </w:pPr>
          </w:p>
        </w:tc>
        <w:tc>
          <w:tcPr>
            <w:tcW w:w="1089" w:type="dxa"/>
            <w:gridSpan w:val="3"/>
            <w:vAlign w:val="center"/>
          </w:tcPr>
          <w:p>
            <w:pPr>
              <w:rPr>
                <w:b/>
                <w:color w:val="000000"/>
                <w:szCs w:val="21"/>
              </w:rPr>
            </w:pPr>
          </w:p>
        </w:tc>
        <w:tc>
          <w:tcPr>
            <w:tcW w:w="711" w:type="dxa"/>
            <w:vAlign w:val="center"/>
          </w:tcPr>
          <w:p>
            <w:pPr>
              <w:rPr>
                <w:b/>
                <w:color w:val="000000"/>
                <w:szCs w:val="21"/>
              </w:rPr>
            </w:pPr>
          </w:p>
        </w:tc>
        <w:tc>
          <w:tcPr>
            <w:tcW w:w="3870" w:type="dxa"/>
            <w:gridSpan w:val="2"/>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gridSpan w:val="2"/>
            <w:vAlign w:val="center"/>
          </w:tcPr>
          <w:p>
            <w:pPr>
              <w:rPr>
                <w:b/>
                <w:color w:val="000000"/>
                <w:szCs w:val="21"/>
                <w:highlight w:val="green"/>
              </w:rPr>
            </w:pPr>
          </w:p>
        </w:tc>
        <w:tc>
          <w:tcPr>
            <w:tcW w:w="1089" w:type="dxa"/>
            <w:gridSpan w:val="3"/>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gridSpan w:val="2"/>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北京华科众合科技有限公司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北京市海淀区清河嘉园东区甲1号楼13层1337-1</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北京市海淀区清河嘉园东区甲1号楼13层1337-1</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赵志芳</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18501002628</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薛婷</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苏增飞</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lang w:eastAsia="zh-CN"/>
              </w:rPr>
              <w:t>计算机信息系统集成、计算机应用软件开发（医疗器械软件除外）和企业信息规划咨询</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lang w:eastAsia="zh-CN"/>
              </w:rPr>
            </w:pPr>
            <w:r>
              <w:rPr>
                <w:rFonts w:hint="eastAsia" w:ascii="宋体"/>
                <w:color w:val="000000"/>
                <w:szCs w:val="21"/>
                <w:lang w:eastAsia="zh-CN"/>
              </w:rPr>
              <w:t xml:space="preserve">业务实现流程： </w:t>
            </w:r>
          </w:p>
          <w:p>
            <w:pPr>
              <w:tabs>
                <w:tab w:val="left" w:pos="360"/>
              </w:tabs>
              <w:ind w:left="360" w:hanging="360"/>
              <w:rPr>
                <w:rFonts w:hint="default" w:ascii="宋体"/>
                <w:color w:val="000000"/>
                <w:szCs w:val="21"/>
                <w:lang w:val="en-US" w:eastAsia="zh-CN"/>
              </w:rPr>
            </w:pPr>
            <w:r>
              <w:rPr>
                <w:rFonts w:hint="eastAsia" w:ascii="宋体"/>
                <w:color w:val="000000"/>
                <w:szCs w:val="21"/>
              </w:rPr>
              <w:t>需求分析→概要设计→详细设计→代码编写→软件测试→试运行→产品交付→安装→</w:t>
            </w:r>
            <w:r>
              <w:rPr>
                <w:rFonts w:hint="eastAsia" w:ascii="宋体"/>
                <w:color w:val="000000"/>
                <w:szCs w:val="21"/>
                <w:lang w:val="en-US" w:eastAsia="zh-CN"/>
              </w:rPr>
              <w:t>客户验收</w:t>
            </w:r>
          </w:p>
          <w:p>
            <w:pPr>
              <w:tabs>
                <w:tab w:val="left" w:pos="360"/>
              </w:tabs>
              <w:ind w:left="360" w:hanging="360"/>
              <w:rPr>
                <w:rFonts w:hint="default" w:ascii="宋体"/>
                <w:color w:val="000000"/>
                <w:szCs w:val="21"/>
                <w:lang w:val="en-US" w:eastAsia="zh-CN"/>
              </w:rPr>
            </w:pPr>
            <w:r>
              <w:rPr>
                <w:rFonts w:hint="eastAsia" w:ascii="宋体"/>
                <w:color w:val="000000"/>
                <w:szCs w:val="21"/>
                <w:lang w:val="en-US" w:eastAsia="zh-CN"/>
              </w:rPr>
              <w:t>信息咨询业务流程</w:t>
            </w:r>
          </w:p>
          <w:p>
            <w:pPr>
              <w:tabs>
                <w:tab w:val="left" w:pos="360"/>
              </w:tabs>
              <w:ind w:left="360" w:hanging="360"/>
              <w:rPr>
                <w:rFonts w:hint="eastAsia" w:ascii="宋体"/>
                <w:color w:val="000000"/>
                <w:szCs w:val="21"/>
                <w:lang w:val="en-US" w:eastAsia="zh-CN"/>
              </w:rPr>
            </w:pPr>
            <w:r>
              <w:rPr>
                <w:rFonts w:hint="eastAsia" w:ascii="宋体"/>
                <w:color w:val="000000"/>
                <w:szCs w:val="21"/>
                <w:lang w:val="en-US" w:eastAsia="zh-CN"/>
              </w:rPr>
              <w:t>需求确定→调查分析→收集数据→数据分析→咨询报告</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lang w:eastAsia="zh-CN"/>
              </w:rPr>
              <w:t>计算机信息系统集成、计算机应用软件开发（医疗器械软件除外）和企业信息规划咨询</w:t>
            </w:r>
            <w:r>
              <w:t>所涉及场所的相关环境管理活动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33.02.01;33.02.02;35.04.02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lang w:eastAsia="zh-CN"/>
              </w:rPr>
              <w:t>计算机信息系统集成、计算机应用软件开发（医疗器械软件除外）和企业信息规划咨询</w:t>
            </w:r>
            <w:r>
              <w:t>所涉及场所的相关职业健康安全管理活动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33.02.01;33.02.02;35.04.02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 w:val="21"/>
                <w:szCs w:val="21"/>
                <w:lang w:eastAsia="zh-CN"/>
              </w:rPr>
            </w:pPr>
            <w:r>
              <w:rPr>
                <w:rFonts w:hint="eastAsia"/>
                <w:sz w:val="21"/>
                <w:szCs w:val="21"/>
                <w:lang w:eastAsia="zh-CN"/>
              </w:rPr>
              <w:t>北京华科众合科技有限公司</w:t>
            </w:r>
          </w:p>
          <w:p>
            <w:pPr>
              <w:spacing w:before="40" w:after="40"/>
              <w:rPr>
                <w:rFonts w:hint="eastAsia" w:eastAsia="宋体"/>
                <w:sz w:val="21"/>
                <w:szCs w:val="21"/>
                <w:lang w:val="de-DE" w:eastAsia="zh-CN"/>
              </w:rPr>
            </w:pPr>
            <w:r>
              <w:rPr>
                <w:rFonts w:hint="eastAsia"/>
                <w:sz w:val="21"/>
                <w:szCs w:val="21"/>
                <w:lang w:eastAsia="zh-CN"/>
              </w:rPr>
              <w:t>北京市海淀区清河嘉园东区甲1号楼13层1337-1</w:t>
            </w:r>
          </w:p>
        </w:tc>
        <w:tc>
          <w:tcPr>
            <w:tcW w:w="2267" w:type="dxa"/>
          </w:tcPr>
          <w:p>
            <w:pPr>
              <w:spacing w:before="40" w:after="40"/>
              <w:rPr>
                <w:rFonts w:hint="eastAsia" w:eastAsia="黑体"/>
                <w:szCs w:val="21"/>
                <w:lang w:val="de-DE" w:eastAsia="zh-CN"/>
              </w:rPr>
            </w:pPr>
            <w:r>
              <w:rPr>
                <w:rFonts w:hint="eastAsia" w:eastAsia="黑体"/>
                <w:sz w:val="21"/>
                <w:szCs w:val="21"/>
                <w:lang w:eastAsia="zh-CN"/>
              </w:rPr>
              <w:t>北京市海淀区清河嘉园东区甲1号楼13层1337-1</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bookmarkStart w:id="23" w:name="审核范围"/>
            <w:r>
              <w:t>E：</w:t>
            </w:r>
            <w:r>
              <w:rPr>
                <w:rFonts w:hint="eastAsia"/>
                <w:lang w:eastAsia="zh-CN"/>
              </w:rPr>
              <w:t>计算机信息系统集成、计算机应用软件开发（医疗器械软件除外）和企业信息规划咨询</w:t>
            </w:r>
            <w:r>
              <w:t>所涉及场所的相关环境管理活动</w:t>
            </w:r>
          </w:p>
          <w:p>
            <w:pPr>
              <w:pStyle w:val="20"/>
              <w:rPr>
                <w:rFonts w:eastAsia="黑体" w:cs="Arial"/>
                <w:sz w:val="21"/>
                <w:szCs w:val="21"/>
                <w:lang w:val="en-US" w:eastAsia="ja-JP"/>
              </w:rPr>
            </w:pPr>
            <w:r>
              <w:t>O：</w:t>
            </w:r>
            <w:r>
              <w:rPr>
                <w:rFonts w:hint="eastAsia" w:eastAsia="宋体"/>
                <w:lang w:eastAsia="zh-CN"/>
              </w:rPr>
              <w:t>计算机信息系统集成、计算机应用软件开发（医疗器械软件除外）和企业信息规划咨询</w:t>
            </w:r>
            <w:r>
              <w:t>所涉及场所的相关职业健康安全管理活动</w:t>
            </w:r>
            <w:bookmarkEnd w:id="23"/>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tc>
        <w:tc>
          <w:tcPr>
            <w:tcW w:w="668" w:type="dxa"/>
            <w:shd w:val="clear" w:color="auto" w:fill="FFFFFF"/>
            <w:vAlign w:val="top"/>
          </w:tcPr>
          <w:p>
            <w:pPr>
              <w:rPr>
                <w:rFonts w:eastAsia="黑体"/>
                <w:szCs w:val="21"/>
              </w:rPr>
            </w:pPr>
            <w:r>
              <w:rPr>
                <w:rFonts w:eastAsia="黑体"/>
                <w:szCs w:val="21"/>
              </w:rPr>
              <w:sym w:font="Wingdings 2" w:char="0052"/>
            </w: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rPr>
              <w:t>年</w:t>
            </w:r>
            <w:r>
              <w:rPr>
                <w:rFonts w:hint="eastAsia" w:ascii="宋体" w:hAnsi="宋体"/>
                <w:b/>
                <w:color w:val="000000"/>
                <w:szCs w:val="21"/>
                <w:lang w:val="en-US" w:eastAsia="zh-CN"/>
              </w:rPr>
              <w:t>12</w:t>
            </w:r>
            <w:r>
              <w:rPr>
                <w:rFonts w:hint="eastAsia" w:ascii="宋体" w:hAnsi="宋体"/>
                <w:b/>
                <w:color w:val="000000"/>
                <w:szCs w:val="21"/>
              </w:rPr>
              <w:t>月</w:t>
            </w:r>
            <w:r>
              <w:rPr>
                <w:rFonts w:hint="eastAsia" w:ascii="宋体" w:hAnsi="宋体"/>
                <w:b/>
                <w:color w:val="000000"/>
                <w:szCs w:val="21"/>
                <w:lang w:val="en-US" w:eastAsia="zh-CN"/>
              </w:rPr>
              <w:t>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12.已根据策划于2021年12月20日完成管理评审，包括所有标准要求的输入和输出,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4"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1</w:t>
            </w:r>
            <w:r>
              <w:rPr>
                <w:rFonts w:hint="eastAsia" w:ascii="宋体"/>
                <w:b/>
                <w:color w:val="000000"/>
                <w:szCs w:val="21"/>
              </w:rPr>
              <w:t>-0</w:t>
            </w:r>
            <w:bookmarkEnd w:id="24"/>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A3"/>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bookmarkStart w:id="25" w:name="_GoBack"/>
      <w:bookmarkEnd w:id="25"/>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7994E98"/>
    <w:rsid w:val="4B762798"/>
    <w:rsid w:val="65097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2022-01-06T08:08:41Z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