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恩施石力建材有限公司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伍光华、</w:t>
            </w:r>
            <w:r>
              <w:rPr>
                <w:rFonts w:hint="eastAsia"/>
                <w:color w:val="000000"/>
                <w:sz w:val="24"/>
                <w:szCs w:val="24"/>
              </w:rPr>
              <w:t>喻荣秋</w:t>
            </w:r>
            <w:r>
              <w:rPr>
                <w:rFonts w:hint="eastAsia"/>
                <w:color w:val="000000"/>
                <w:sz w:val="24"/>
                <w:szCs w:val="24"/>
                <w:lang w:eastAsia="zh-CN"/>
              </w:rPr>
              <w:t>、</w:t>
            </w:r>
            <w:r>
              <w:rPr>
                <w:rFonts w:hint="eastAsia"/>
                <w:color w:val="000000"/>
                <w:sz w:val="24"/>
                <w:szCs w:val="24"/>
              </w:rPr>
              <w:t>温红玲</w:t>
            </w:r>
            <w:bookmarkEnd w:id="1"/>
            <w:r>
              <w:rPr>
                <w:rFonts w:hint="eastAsia"/>
                <w:color w:val="000000"/>
                <w:sz w:val="24"/>
                <w:szCs w:val="24"/>
              </w:rPr>
              <w:t xml:space="preserve">                     审核时间：</w:t>
            </w:r>
            <w:bookmarkStart w:id="2" w:name="审核日期"/>
            <w:r>
              <w:rPr>
                <w:color w:val="000000"/>
              </w:rPr>
              <w:t>2022年01月04日 上午至2022年01月04日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bookmarkStart w:id="5" w:name="_GoBack" w:colFirst="0" w:colLast="3"/>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bookmarkStart w:id="3" w:name="机构代码"/>
            <w:r>
              <w:rPr>
                <w:sz w:val="22"/>
                <w:szCs w:val="22"/>
                <w:u w:val="single"/>
              </w:rPr>
              <w:t>91422801691767496R</w:t>
            </w:r>
            <w:bookmarkEnd w:id="3"/>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2009年7月31日至2029年7月30日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建筑材料生产、销售；混凝土及其制品生产、销售；管道运输、装卸搬运；普通货物运输。（涉及许可经营项目，应取得相关部门许可后方可经营）</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t>预拌混凝土的生产及销售</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建筑业企业资质证书</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sz w:val="22"/>
                <w:szCs w:val="22"/>
                <w:u w:val="single"/>
              </w:rPr>
              <w:t>91422801691767496R</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2022年6月30日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预拌混凝土专业承包不分等级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p>
          <w:p>
            <w:pPr>
              <w:rPr>
                <w:color w:val="000000"/>
              </w:rPr>
            </w:pPr>
            <w:r>
              <w:rPr>
                <w:rFonts w:hint="eastAsia"/>
                <w:color w:val="000000"/>
              </w:rPr>
              <w:t>与《营业执照》和《</w:t>
            </w:r>
            <w:r>
              <w:rPr>
                <w:rFonts w:hint="eastAsia"/>
                <w:b/>
                <w:bCs/>
                <w:color w:val="000000"/>
                <w:szCs w:val="21"/>
                <w:lang w:val="en-US" w:eastAsia="zh-CN"/>
              </w:rPr>
              <w:t>建筑业企业资质证书</w:t>
            </w:r>
            <w:r>
              <w:rPr>
                <w:rFonts w:hint="eastAsia"/>
                <w:color w:val="000000"/>
              </w:rPr>
              <w:t>》内容一致。</w:t>
            </w:r>
          </w:p>
          <w:p>
            <w:pPr>
              <w:rPr>
                <w:color w:val="000000"/>
              </w:rPr>
            </w:pPr>
          </w:p>
          <w:p>
            <w:pPr>
              <w:rPr>
                <w:color w:val="000000"/>
              </w:rPr>
            </w:pPr>
            <w:r>
              <w:rPr>
                <w:rFonts w:hint="eastAsia"/>
                <w:color w:val="000000"/>
              </w:rPr>
              <w:t>经营地址：</w:t>
            </w:r>
            <w:bookmarkStart w:id="4" w:name="生产地址"/>
            <w:r>
              <w:rPr>
                <w:sz w:val="21"/>
                <w:szCs w:val="21"/>
              </w:rPr>
              <w:t>恩施市龙凤镇三河村、小龙潭村</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sz w:val="20"/>
              </w:rPr>
            </w:pPr>
            <w:r>
              <w:rPr>
                <w:rFonts w:hint="eastAsia"/>
                <w:sz w:val="20"/>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rPr>
                <w:rFonts w:hint="eastAsia"/>
                <w:sz w:val="20"/>
              </w:rPr>
            </w:pPr>
            <w:r>
              <w:rPr>
                <w:rFonts w:hint="eastAsia" w:asciiTheme="minorEastAsia" w:hAnsiTheme="minorEastAsia" w:eastAsiaTheme="minorEastAsia" w:cstheme="minorEastAsia"/>
                <w:bCs/>
                <w:sz w:val="18"/>
                <w:szCs w:val="18"/>
              </w:rPr>
              <w:t>销售流程：顾客沟通—合同评审—合同/订单签订—产品采购—产品验证—交付—售后服务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47</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9</w:t>
            </w:r>
            <w:r>
              <w:rPr>
                <w:rFonts w:hint="eastAsia"/>
                <w:color w:val="000000"/>
                <w:szCs w:val="18"/>
              </w:rPr>
              <w:t>；操作人员</w:t>
            </w:r>
            <w:r>
              <w:rPr>
                <w:rFonts w:hint="eastAsia"/>
                <w:color w:val="000000"/>
                <w:szCs w:val="18"/>
                <w:lang w:val="en-US" w:eastAsia="zh-CN"/>
              </w:rPr>
              <w:t>38</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2020</w:t>
            </w:r>
            <w:r>
              <w:rPr>
                <w:rFonts w:hint="eastAsia"/>
                <w:color w:val="000000"/>
                <w:szCs w:val="18"/>
              </w:rPr>
              <w:t>年</w:t>
            </w:r>
            <w:r>
              <w:rPr>
                <w:rFonts w:hint="eastAsia"/>
                <w:color w:val="000000"/>
                <w:szCs w:val="18"/>
                <w:lang w:val="en-US" w:eastAsia="zh-CN"/>
              </w:rPr>
              <w:t>01</w:t>
            </w:r>
            <w:r>
              <w:rPr>
                <w:rFonts w:hint="eastAsia"/>
                <w:color w:val="000000"/>
                <w:szCs w:val="18"/>
              </w:rPr>
              <w:t>月</w:t>
            </w:r>
            <w:r>
              <w:rPr>
                <w:rFonts w:hint="eastAsia"/>
                <w:color w:val="000000"/>
                <w:szCs w:val="18"/>
                <w:lang w:val="en-US" w:eastAsia="zh-CN"/>
              </w:rPr>
              <w:t>08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2020</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汽车维修</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093"/>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737" w:type="dxa"/>
                </w:tcPr>
                <w:p>
                  <w:pPr>
                    <w:widowControl/>
                    <w:spacing w:before="40"/>
                    <w:jc w:val="left"/>
                    <w:rPr>
                      <w:color w:val="000000"/>
                      <w:szCs w:val="18"/>
                    </w:rPr>
                  </w:pPr>
                  <w:r>
                    <w:rPr>
                      <w:rFonts w:hint="eastAsia"/>
                      <w:color w:val="000000"/>
                      <w:szCs w:val="18"/>
                    </w:rPr>
                    <w:t>目标</w:t>
                  </w:r>
                </w:p>
              </w:tc>
              <w:tc>
                <w:tcPr>
                  <w:tcW w:w="1093"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顾客满意度≥95%以上</w:t>
                  </w:r>
                </w:p>
              </w:tc>
              <w:tc>
                <w:tcPr>
                  <w:tcW w:w="1093" w:type="dxa"/>
                </w:tcPr>
                <w:p>
                  <w:pPr>
                    <w:widowControl/>
                    <w:spacing w:before="40"/>
                    <w:jc w:val="left"/>
                    <w:rPr>
                      <w:rFonts w:hint="eastAsia" w:eastAsia="宋体"/>
                      <w:color w:val="000000"/>
                      <w:sz w:val="21"/>
                      <w:szCs w:val="21"/>
                      <w:highlight w:val="cyan"/>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以顾客满意度调查表统计结果</w:t>
                  </w:r>
                </w:p>
              </w:tc>
              <w:tc>
                <w:tcPr>
                  <w:tcW w:w="2444" w:type="dxa"/>
                </w:tcPr>
                <w:p>
                  <w:pPr>
                    <w:widowControl/>
                    <w:spacing w:before="40"/>
                    <w:jc w:val="left"/>
                    <w:rPr>
                      <w:color w:val="000000"/>
                      <w:sz w:val="21"/>
                      <w:szCs w:val="21"/>
                      <w:highlight w:val="none"/>
                    </w:rPr>
                  </w:pPr>
                  <w:r>
                    <w:rPr>
                      <w:rFonts w:hint="eastAsia" w:ascii="宋体" w:hAnsi="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产品一次交验合格率 100%</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eastAsia" w:eastAsia="宋体"/>
                      <w:color w:val="000000"/>
                      <w:sz w:val="21"/>
                      <w:szCs w:val="21"/>
                      <w:highlight w:val="none"/>
                      <w:lang w:val="en-US" w:eastAsia="zh-CN"/>
                    </w:rPr>
                  </w:pPr>
                  <w:r>
                    <w:rPr>
                      <w:rFonts w:hint="eastAsia" w:ascii="宋体" w:hAnsi="宋体"/>
                      <w:color w:val="000000"/>
                      <w:sz w:val="21"/>
                      <w:szCs w:val="21"/>
                    </w:rPr>
                    <w:t>产品一次交验合格</w:t>
                  </w:r>
                  <w:r>
                    <w:rPr>
                      <w:rFonts w:hint="eastAsia" w:ascii="宋体" w:hAnsi="宋体"/>
                      <w:color w:val="000000"/>
                      <w:sz w:val="21"/>
                      <w:szCs w:val="21"/>
                      <w:lang w:val="en-US" w:eastAsia="zh-CN"/>
                    </w:rPr>
                    <w:t>数/</w:t>
                  </w:r>
                  <w:r>
                    <w:rPr>
                      <w:rFonts w:hint="eastAsia" w:ascii="宋体" w:hAnsi="宋体"/>
                      <w:color w:val="000000"/>
                      <w:sz w:val="21"/>
                      <w:szCs w:val="21"/>
                    </w:rPr>
                    <w:t>产品一次交验</w:t>
                  </w:r>
                  <w:r>
                    <w:rPr>
                      <w:rFonts w:hint="eastAsia" w:ascii="宋体" w:hAnsi="宋体"/>
                      <w:color w:val="000000"/>
                      <w:sz w:val="21"/>
                      <w:szCs w:val="21"/>
                      <w:lang w:val="en-US" w:eastAsia="zh-CN"/>
                    </w:rPr>
                    <w:t>总数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产品质量合格率100%</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产品质量合格</w:t>
                  </w:r>
                  <w:r>
                    <w:rPr>
                      <w:rFonts w:hint="eastAsia" w:ascii="宋体" w:hAnsi="宋体"/>
                      <w:color w:val="000000"/>
                      <w:sz w:val="21"/>
                      <w:szCs w:val="21"/>
                      <w:lang w:val="en-US" w:eastAsia="zh-CN"/>
                    </w:rPr>
                    <w:t>数/</w:t>
                  </w:r>
                  <w:r>
                    <w:rPr>
                      <w:rFonts w:hint="eastAsia" w:ascii="宋体" w:hAnsi="宋体"/>
                      <w:color w:val="000000"/>
                      <w:sz w:val="21"/>
                      <w:szCs w:val="21"/>
                    </w:rPr>
                    <w:t>产品</w:t>
                  </w:r>
                  <w:r>
                    <w:rPr>
                      <w:rFonts w:hint="eastAsia" w:ascii="宋体" w:hAnsi="宋体"/>
                      <w:color w:val="000000"/>
                      <w:sz w:val="21"/>
                      <w:szCs w:val="21"/>
                      <w:lang w:val="en-US" w:eastAsia="zh-CN"/>
                    </w:rPr>
                    <w:t>总数量</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合同履约率100%</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合同履约</w:t>
                  </w:r>
                  <w:r>
                    <w:rPr>
                      <w:rFonts w:hint="eastAsia" w:ascii="宋体" w:hAnsi="宋体"/>
                      <w:color w:val="000000"/>
                      <w:sz w:val="21"/>
                      <w:szCs w:val="21"/>
                      <w:lang w:val="en-US" w:eastAsia="zh-CN"/>
                    </w:rPr>
                    <w:t>数/合同总数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设备完好率≥95%</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ascii="宋体" w:hAnsi="宋体"/>
                      <w:color w:val="000000"/>
                      <w:sz w:val="21"/>
                      <w:szCs w:val="21"/>
                    </w:rPr>
                    <w:t>设备完好</w:t>
                  </w:r>
                  <w:r>
                    <w:rPr>
                      <w:rFonts w:hint="eastAsia" w:ascii="宋体" w:hAnsi="宋体"/>
                      <w:color w:val="000000"/>
                      <w:sz w:val="21"/>
                      <w:szCs w:val="21"/>
                      <w:lang w:val="en-US" w:eastAsia="zh-CN"/>
                    </w:rPr>
                    <w:t>数/设备总数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噪声、粉尘</w:t>
                  </w:r>
                  <w:r>
                    <w:rPr>
                      <w:rFonts w:hint="eastAsia" w:ascii="宋体" w:hAnsi="宋体"/>
                      <w:color w:val="000000"/>
                      <w:sz w:val="21"/>
                      <w:szCs w:val="21"/>
                      <w:lang w:val="en-US" w:eastAsia="zh-CN"/>
                    </w:rPr>
                    <w:t>达标</w:t>
                  </w:r>
                  <w:r>
                    <w:rPr>
                      <w:rFonts w:hint="eastAsia" w:ascii="宋体" w:hAnsi="宋体"/>
                      <w:color w:val="000000"/>
                      <w:sz w:val="21"/>
                      <w:szCs w:val="21"/>
                    </w:rPr>
                    <w:t>排放</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以检测报告为准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color w:val="000000"/>
                      <w:sz w:val="21"/>
                      <w:szCs w:val="21"/>
                      <w:highlight w:val="cyan"/>
                    </w:rPr>
                  </w:pPr>
                  <w:r>
                    <w:rPr>
                      <w:rFonts w:hint="eastAsia" w:ascii="宋体" w:hAnsi="宋体"/>
                      <w:color w:val="000000"/>
                      <w:sz w:val="21"/>
                      <w:szCs w:val="21"/>
                    </w:rPr>
                    <w:t>劳保防护用品发放率100%</w:t>
                  </w:r>
                </w:p>
              </w:tc>
              <w:tc>
                <w:tcPr>
                  <w:tcW w:w="1093"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 xml:space="preserve">季度 </w:t>
                  </w:r>
                </w:p>
              </w:tc>
              <w:tc>
                <w:tcPr>
                  <w:tcW w:w="3499" w:type="dxa"/>
                </w:tcPr>
                <w:p>
                  <w:pPr>
                    <w:widowControl/>
                    <w:spacing w:before="40"/>
                    <w:jc w:val="left"/>
                    <w:rPr>
                      <w:rFonts w:hint="eastAsia" w:eastAsia="宋体"/>
                      <w:color w:val="000000"/>
                      <w:sz w:val="21"/>
                      <w:szCs w:val="21"/>
                      <w:highlight w:val="none"/>
                      <w:lang w:val="en-US" w:eastAsia="zh-CN"/>
                    </w:rPr>
                  </w:pPr>
                  <w:r>
                    <w:rPr>
                      <w:rFonts w:hint="eastAsia" w:ascii="宋体" w:hAnsi="宋体"/>
                      <w:color w:val="000000"/>
                      <w:sz w:val="21"/>
                      <w:szCs w:val="21"/>
                    </w:rPr>
                    <w:t>劳保防护用品发放</w:t>
                  </w:r>
                  <w:r>
                    <w:rPr>
                      <w:rFonts w:hint="eastAsia" w:ascii="宋体" w:hAnsi="宋体"/>
                      <w:color w:val="000000"/>
                      <w:sz w:val="21"/>
                      <w:szCs w:val="21"/>
                      <w:lang w:val="en-US" w:eastAsia="zh-CN"/>
                    </w:rPr>
                    <w:t>数/</w:t>
                  </w:r>
                  <w:r>
                    <w:rPr>
                      <w:rFonts w:hint="eastAsia" w:ascii="宋体" w:hAnsi="宋体"/>
                      <w:color w:val="000000"/>
                      <w:sz w:val="21"/>
                      <w:szCs w:val="21"/>
                    </w:rPr>
                    <w:t>劳保防护用品</w:t>
                  </w:r>
                  <w:r>
                    <w:rPr>
                      <w:rFonts w:hint="eastAsia" w:ascii="宋体" w:hAnsi="宋体"/>
                      <w:color w:val="000000"/>
                      <w:sz w:val="21"/>
                      <w:szCs w:val="21"/>
                      <w:lang w:val="en-US" w:eastAsia="zh-CN"/>
                    </w:rPr>
                    <w:t>应</w:t>
                  </w:r>
                  <w:r>
                    <w:rPr>
                      <w:rFonts w:hint="eastAsia" w:ascii="宋体" w:hAnsi="宋体"/>
                      <w:color w:val="000000"/>
                      <w:sz w:val="21"/>
                      <w:szCs w:val="21"/>
                    </w:rPr>
                    <w:t>发</w:t>
                  </w:r>
                  <w:r>
                    <w:rPr>
                      <w:rFonts w:hint="eastAsia" w:ascii="宋体" w:hAnsi="宋体"/>
                      <w:color w:val="000000"/>
                      <w:sz w:val="21"/>
                      <w:szCs w:val="21"/>
                      <w:lang w:val="en-US" w:eastAsia="zh-CN"/>
                    </w:rPr>
                    <w:t>数</w:t>
                  </w:r>
                </w:p>
              </w:tc>
              <w:tc>
                <w:tcPr>
                  <w:tcW w:w="2444"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职业病发生率控制在零</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年度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以体检报告为准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pPr>
                    <w:widowControl/>
                    <w:spacing w:before="40"/>
                    <w:jc w:val="left"/>
                    <w:rPr>
                      <w:rFonts w:hint="eastAsia" w:ascii="宋体" w:hAnsi="宋体"/>
                      <w:color w:val="000000"/>
                      <w:sz w:val="21"/>
                      <w:szCs w:val="21"/>
                    </w:rPr>
                  </w:pPr>
                  <w:r>
                    <w:rPr>
                      <w:rFonts w:hint="eastAsia" w:ascii="宋体" w:hAnsi="宋体"/>
                      <w:color w:val="000000"/>
                      <w:sz w:val="21"/>
                      <w:szCs w:val="21"/>
                    </w:rPr>
                    <w:t>重大质量事故和安全事故为零</w:t>
                  </w:r>
                </w:p>
              </w:tc>
              <w:tc>
                <w:tcPr>
                  <w:tcW w:w="1093"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季度</w:t>
                  </w:r>
                </w:p>
              </w:tc>
              <w:tc>
                <w:tcPr>
                  <w:tcW w:w="3499"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以统计结果为准</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54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57</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7-8</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4</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28</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eastAsia="宋体" w:cs="宋体"/>
                <w:sz w:val="21"/>
                <w:szCs w:val="21"/>
              </w:rPr>
              <w:t>组织按照国标/行标和顾客要求进行</w:t>
            </w:r>
            <w:r>
              <w:rPr>
                <w:sz w:val="21"/>
                <w:szCs w:val="21"/>
              </w:rPr>
              <w:t>预拌混凝土的生产及销售</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sz w:val="21"/>
                <w:szCs w:val="21"/>
                <w:u w:val="single"/>
              </w:rPr>
            </w:pPr>
            <w:r>
              <w:rPr>
                <w:rFonts w:hint="eastAsia"/>
                <w:color w:val="000000"/>
              </w:rPr>
              <w:t>质量关键过程（工序）：</w:t>
            </w:r>
            <w:r>
              <w:rPr>
                <w:rFonts w:hint="eastAsia"/>
                <w:sz w:val="21"/>
                <w:szCs w:val="21"/>
                <w:u w:val="single"/>
              </w:rPr>
              <w:t>按配合比要求计量（称重）和搅拌（定时控制）两个</w:t>
            </w:r>
            <w:r>
              <w:rPr>
                <w:rFonts w:hint="eastAsia"/>
                <w:color w:val="000000"/>
                <w:sz w:val="21"/>
                <w:szCs w:val="21"/>
                <w:u w:val="single"/>
              </w:rPr>
              <w:t>；相关控制参数名称：</w:t>
            </w:r>
            <w:r>
              <w:rPr>
                <w:rFonts w:hint="eastAsia"/>
                <w:color w:val="000000"/>
                <w:sz w:val="21"/>
                <w:szCs w:val="21"/>
                <w:u w:val="single"/>
                <w:lang w:val="en-US" w:eastAsia="zh-CN"/>
              </w:rPr>
              <w:t>配合比、搅拌时间</w:t>
            </w:r>
            <w:r>
              <w:rPr>
                <w:rFonts w:hint="eastAsia"/>
                <w:color w:val="000000"/>
                <w:sz w:val="21"/>
                <w:szCs w:val="21"/>
                <w:u w:val="single"/>
              </w:rPr>
              <w:t>；</w:t>
            </w:r>
          </w:p>
          <w:p>
            <w:pPr>
              <w:rPr>
                <w:color w:val="000000"/>
                <w:u w:val="single"/>
              </w:rPr>
            </w:pPr>
          </w:p>
          <w:p>
            <w:pPr>
              <w:rPr>
                <w:color w:val="000000"/>
                <w:u w:val="single"/>
              </w:rPr>
            </w:pPr>
            <w:r>
              <w:rPr>
                <w:rFonts w:hint="eastAsia"/>
                <w:color w:val="000000"/>
              </w:rPr>
              <w:t>需要确认的过程（工序）：</w:t>
            </w:r>
            <w:r>
              <w:rPr>
                <w:rFonts w:hint="eastAsia"/>
                <w:sz w:val="21"/>
                <w:szCs w:val="21"/>
                <w:u w:val="single"/>
              </w:rPr>
              <w:t>配合比要求计量（称重）和搅拌（定时控制）</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52"/>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96%</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szCs w:val="21"/>
                <w:u w:val="single"/>
              </w:rPr>
              <w:t>全封闭式生产线</w:t>
            </w:r>
            <w:r>
              <w:rPr>
                <w:rFonts w:hint="eastAsia"/>
                <w:szCs w:val="21"/>
                <w:u w:val="single"/>
                <w:lang w:val="en-US" w:eastAsia="zh-CN"/>
              </w:rPr>
              <w:t>3</w:t>
            </w:r>
            <w:r>
              <w:rPr>
                <w:rFonts w:hint="eastAsia"/>
                <w:szCs w:val="21"/>
                <w:u w:val="single"/>
              </w:rPr>
              <w:t>条、配备</w:t>
            </w:r>
            <w:r>
              <w:rPr>
                <w:rFonts w:hint="eastAsia"/>
                <w:szCs w:val="21"/>
                <w:u w:val="single"/>
                <w:lang w:val="en-US" w:eastAsia="zh-CN"/>
              </w:rPr>
              <w:t>多台</w:t>
            </w:r>
            <w:r>
              <w:rPr>
                <w:rFonts w:hint="eastAsia"/>
                <w:szCs w:val="21"/>
                <w:u w:val="single"/>
              </w:rPr>
              <w:t>汽车泵、水泥净浆搅拌机等</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sz w:val="21"/>
                <w:szCs w:val="21"/>
                <w:u w:val="single"/>
              </w:rPr>
            </w:pPr>
            <w:r>
              <w:rPr>
                <w:rFonts w:hint="eastAsia"/>
                <w:color w:val="000000"/>
              </w:rPr>
              <w:t>观察质量相关的监视和测量设备的种类，</w:t>
            </w:r>
            <w:r>
              <w:rPr>
                <w:rFonts w:hint="eastAsia"/>
                <w:color w:val="000000"/>
                <w:szCs w:val="21"/>
              </w:rPr>
              <w:t>主要有</w:t>
            </w:r>
            <w:r>
              <w:rPr>
                <w:rFonts w:ascii="宋体"/>
                <w:color w:val="000000"/>
                <w:sz w:val="21"/>
                <w:szCs w:val="21"/>
                <w:u w:val="single"/>
              </w:rPr>
              <w:t xml:space="preserve">YH-40B </w:t>
            </w:r>
            <w:r>
              <w:rPr>
                <w:rFonts w:hint="eastAsia" w:ascii="宋体"/>
                <w:color w:val="000000"/>
                <w:sz w:val="21"/>
                <w:szCs w:val="21"/>
                <w:u w:val="single"/>
              </w:rPr>
              <w:t>标准恒温恒湿养护箱、电热鼓风干燥箱、数显式压力试验机、水泥快速养护箱等。</w:t>
            </w:r>
            <w:r>
              <w:rPr>
                <w:rFonts w:hint="eastAsia"/>
                <w:color w:val="000000"/>
                <w:sz w:val="21"/>
                <w:szCs w:val="21"/>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w:t>
            </w:r>
            <w:r>
              <w:rPr>
                <w:rFonts w:hint="eastAsia"/>
                <w:color w:val="000000"/>
                <w:szCs w:val="21"/>
              </w:rPr>
              <w:sym w:font="Wingdings 2" w:char="0052"/>
            </w:r>
            <w:r>
              <w:rPr>
                <w:rFonts w:hint="eastAsia"/>
                <w:color w:val="000000"/>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38万立方米</w:t>
            </w:r>
            <w:r>
              <w:rPr>
                <w:rFonts w:hint="eastAsia"/>
                <w:color w:val="000000"/>
                <w:szCs w:val="18"/>
                <w:u w:val="single"/>
              </w:rPr>
              <w:t>；</w:t>
            </w:r>
            <w:r>
              <w:rPr>
                <w:rFonts w:hint="eastAsia"/>
                <w:color w:val="000000"/>
                <w:szCs w:val="18"/>
              </w:rPr>
              <w:t xml:space="preserve"> 环评的产能</w:t>
            </w:r>
            <w:r>
              <w:rPr>
                <w:rFonts w:hint="eastAsia"/>
                <w:color w:val="000000"/>
                <w:szCs w:val="18"/>
                <w:u w:val="single"/>
                <w:lang w:val="en-US" w:eastAsia="zh-CN"/>
              </w:rPr>
              <w:t>60万立方米</w:t>
            </w:r>
            <w:r>
              <w:rPr>
                <w:rFonts w:hint="eastAsia"/>
                <w:color w:val="000000"/>
                <w:szCs w:val="18"/>
              </w:rPr>
              <w:t>：</w:t>
            </w:r>
          </w:p>
          <w:p>
            <w:pPr>
              <w:rPr>
                <w:rFonts w:hint="default" w:eastAsia="宋体"/>
                <w:color w:val="000000"/>
                <w:lang w:val="en-US" w:eastAsia="zh-CN"/>
              </w:rPr>
            </w:pPr>
            <w:r>
              <w:rPr>
                <w:rFonts w:ascii="Wingdings" w:hAnsi="Wingdings"/>
                <w:color w:val="000000"/>
              </w:rPr>
              <w:sym w:font="Wingdings" w:char="00FE"/>
            </w:r>
            <w:r>
              <w:rPr>
                <w:rFonts w:hint="eastAsia"/>
                <w:color w:val="000000"/>
                <w:szCs w:val="18"/>
              </w:rPr>
              <w:t>未超出产能</w:t>
            </w:r>
            <w:r>
              <w:rPr>
                <w:rFonts w:ascii="Wingdings" w:hAnsi="Wingdings"/>
                <w:color w:val="000000"/>
              </w:rPr>
              <w:sym w:font="Wingdings" w:char="00A8"/>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w:t>
            </w:r>
            <w:r>
              <w:rPr>
                <w:rFonts w:hint="eastAsia"/>
                <w:color w:val="000000"/>
                <w:szCs w:val="18"/>
              </w:rPr>
              <w:t>固定污染源排污登记回执</w:t>
            </w:r>
            <w:r>
              <w:rPr>
                <w:color w:val="000000"/>
                <w:szCs w:val="18"/>
              </w:rPr>
              <w:t>》</w:t>
            </w:r>
            <w:r>
              <w:rPr>
                <w:rFonts w:hint="eastAsia"/>
                <w:color w:val="000000"/>
                <w:szCs w:val="18"/>
              </w:rPr>
              <w:t>编号：</w:t>
            </w:r>
            <w:r>
              <w:rPr>
                <w:rFonts w:hint="eastAsia"/>
                <w:color w:val="000000"/>
                <w:szCs w:val="18"/>
                <w:u w:val="single"/>
              </w:rPr>
              <w:t>91422801691767496R001Y</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年</w:t>
            </w:r>
            <w:r>
              <w:rPr>
                <w:rFonts w:hint="eastAsia"/>
                <w:color w:val="000000"/>
                <w:szCs w:val="18"/>
                <w:u w:val="single"/>
                <w:lang w:val="en-US" w:eastAsia="zh-CN"/>
              </w:rPr>
              <w:t>05</w:t>
            </w:r>
            <w:r>
              <w:rPr>
                <w:rFonts w:hint="eastAsia"/>
                <w:color w:val="000000"/>
                <w:szCs w:val="18"/>
                <w:u w:val="single"/>
              </w:rPr>
              <w:t xml:space="preserve"> 月 </w:t>
            </w:r>
            <w:r>
              <w:rPr>
                <w:rFonts w:hint="eastAsia"/>
                <w:color w:val="000000"/>
                <w:szCs w:val="18"/>
                <w:u w:val="single"/>
                <w:lang w:val="en-US" w:eastAsia="zh-CN"/>
              </w:rPr>
              <w:t>19</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2018</w:t>
            </w:r>
            <w:r>
              <w:rPr>
                <w:rFonts w:hint="eastAsia"/>
                <w:color w:val="000000"/>
                <w:szCs w:val="18"/>
                <w:u w:val="single"/>
              </w:rPr>
              <w:t xml:space="preserve">年 </w:t>
            </w:r>
            <w:r>
              <w:rPr>
                <w:rFonts w:hint="eastAsia"/>
                <w:color w:val="000000"/>
                <w:szCs w:val="18"/>
                <w:u w:val="single"/>
                <w:lang w:val="en-US" w:eastAsia="zh-CN"/>
              </w:rPr>
              <w:t>11</w:t>
            </w:r>
            <w:r>
              <w:rPr>
                <w:rFonts w:hint="eastAsia"/>
                <w:color w:val="000000"/>
                <w:szCs w:val="18"/>
                <w:u w:val="single"/>
              </w:rPr>
              <w:t xml:space="preserve"> 月</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年</w:t>
            </w:r>
            <w:r>
              <w:rPr>
                <w:rFonts w:hint="eastAsia"/>
                <w:color w:val="000000"/>
                <w:szCs w:val="18"/>
                <w:u w:val="single"/>
                <w:lang w:val="en-US" w:eastAsia="zh-CN"/>
              </w:rPr>
              <w:t>10</w:t>
            </w:r>
            <w:r>
              <w:rPr>
                <w:rFonts w:hint="eastAsia"/>
                <w:color w:val="000000"/>
                <w:szCs w:val="18"/>
                <w:u w:val="single"/>
              </w:rPr>
              <w:t xml:space="preserve"> 月</w:t>
            </w:r>
            <w:r>
              <w:rPr>
                <w:rFonts w:hint="eastAsia"/>
                <w:color w:val="000000"/>
                <w:szCs w:val="18"/>
                <w:u w:val="single"/>
                <w:lang w:val="en-US" w:eastAsia="zh-CN"/>
              </w:rPr>
              <w:t>29</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sym w:font="Wingdings" w:char="00FE"/>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sym w:font="Wingdings" w:char="00FE"/>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A8"/>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A8"/>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w:t>
            </w:r>
            <w:r>
              <w:rPr>
                <w:rFonts w:hint="eastAsia"/>
                <w:color w:val="000000"/>
                <w:szCs w:val="18"/>
                <w:lang w:val="en-US" w:eastAsia="zh-CN"/>
              </w:rPr>
              <w:t>职业病危害现状评价</w:t>
            </w:r>
            <w:r>
              <w:rPr>
                <w:rFonts w:hint="eastAsia"/>
                <w:color w:val="000000"/>
                <w:szCs w:val="18"/>
              </w:rPr>
              <w:t>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年 </w:t>
            </w:r>
            <w:r>
              <w:rPr>
                <w:rFonts w:hint="eastAsia"/>
                <w:color w:val="000000"/>
                <w:szCs w:val="18"/>
                <w:u w:val="single"/>
                <w:lang w:val="en-US" w:eastAsia="zh-CN"/>
              </w:rPr>
              <w:t>11</w:t>
            </w:r>
            <w:r>
              <w:rPr>
                <w:rFonts w:hint="eastAsia"/>
                <w:color w:val="000000"/>
                <w:szCs w:val="18"/>
                <w:u w:val="single"/>
              </w:rPr>
              <w:t xml:space="preserve"> 月</w:t>
            </w:r>
            <w:r>
              <w:rPr>
                <w:rFonts w:hint="eastAsia"/>
                <w:color w:val="000000"/>
                <w:szCs w:val="18"/>
                <w:u w:val="single"/>
                <w:lang w:val="en-US" w:eastAsia="zh-CN"/>
              </w:rPr>
              <w:t>22</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sym w:font="Wingdings" w:char="00FE"/>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A8"/>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sym w:font="Wingdings" w:char="00FE"/>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sym w:font="Wingdings" w:char="00FE"/>
            </w:r>
            <w:r>
              <w:rPr>
                <w:rFonts w:hint="eastAsia"/>
                <w:color w:val="000000"/>
              </w:rPr>
              <w:t>有异常，需要改进：</w:t>
            </w:r>
            <w:r>
              <w:rPr>
                <w:rFonts w:hint="eastAsia"/>
                <w:color w:val="000000"/>
                <w:lang w:val="en-US" w:eastAsia="zh-CN"/>
              </w:rPr>
              <w:t>氧气瓶和乙炔瓶安全距离不足。</w:t>
            </w:r>
            <w:r>
              <w:rPr>
                <w:rFonts w:hint="eastAsia"/>
                <w:color w:val="000000"/>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bookmarkEnd w:id="5"/>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3E6D4C"/>
    <w:rsid w:val="20504CC4"/>
    <w:rsid w:val="348E61B7"/>
    <w:rsid w:val="44DE5E0F"/>
    <w:rsid w:val="47675626"/>
    <w:rsid w:val="778B6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6</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2022-01-10T07:23:28Z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