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7"/>
        <w:tblW w:w="14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
                <w:bCs/>
                <w:sz w:val="24"/>
                <w:szCs w:val="24"/>
              </w:rPr>
              <w:t xml:space="preserve">管理层 </w:t>
            </w:r>
            <w:r>
              <w:rPr>
                <w:rFonts w:hint="eastAsia" w:cs="宋体" w:asciiTheme="minorEastAsia" w:hAnsiTheme="minorEastAsia" w:eastAsiaTheme="minorEastAsia"/>
                <w:sz w:val="24"/>
                <w:szCs w:val="24"/>
              </w:rPr>
              <w:t xml:space="preserve">   主管领导：</w:t>
            </w:r>
            <w:r>
              <w:rPr>
                <w:rFonts w:hint="eastAsia" w:cs="宋体" w:asciiTheme="minorEastAsia" w:hAnsiTheme="minorEastAsia" w:eastAsiaTheme="minorEastAsia"/>
                <w:sz w:val="24"/>
                <w:szCs w:val="24"/>
                <w:lang w:val="en-US" w:eastAsia="zh-CN"/>
              </w:rPr>
              <w:t>陆帅</w:t>
            </w:r>
            <w:r>
              <w:rPr>
                <w:rFonts w:hint="eastAsia" w:cs="宋体" w:asciiTheme="minorEastAsia" w:hAnsiTheme="minorEastAsia" w:eastAsiaTheme="minorEastAsia"/>
                <w:sz w:val="24"/>
                <w:szCs w:val="24"/>
              </w:rPr>
              <w:t xml:space="preserve">  </w:t>
            </w:r>
          </w:p>
        </w:tc>
        <w:tc>
          <w:tcPr>
            <w:tcW w:w="723"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审核员：</w:t>
            </w:r>
            <w:r>
              <w:rPr>
                <w:rFonts w:hint="eastAsia" w:cs="宋体" w:asciiTheme="minorEastAsia" w:hAnsiTheme="minorEastAsia" w:eastAsiaTheme="minorEastAsia"/>
                <w:sz w:val="24"/>
                <w:szCs w:val="24"/>
                <w:lang w:val="en-US" w:eastAsia="zh-CN"/>
              </w:rPr>
              <w:t>强兴</w:t>
            </w:r>
            <w:r>
              <w:rPr>
                <w:rFonts w:hint="eastAsia" w:cs="宋体" w:asciiTheme="minorEastAsia" w:hAnsiTheme="minorEastAsia" w:eastAsiaTheme="minorEastAsia"/>
                <w:sz w:val="24"/>
                <w:szCs w:val="24"/>
              </w:rPr>
              <w:t xml:space="preserve">               审核时间：202</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12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31</w:t>
            </w:r>
          </w:p>
        </w:tc>
        <w:tc>
          <w:tcPr>
            <w:tcW w:w="723"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adjustRightInd w:val="0"/>
              <w:snapToGrid w:val="0"/>
              <w:ind w:right="105" w:rightChars="5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审核：OHMS:4.1理解组织及其环境、4.2理解相关方的需求和期望、4.3 确定管理体系的范围、4.4职业健康安全管理体系及其过程、5.2职业健康安全方针、5.3组织的岗位、职责和权限、5.4协商与参与、</w:t>
            </w:r>
            <w:r>
              <w:rPr>
                <w:rFonts w:hint="eastAsia" w:ascii="Times New Roman" w:hAnsi="Times New Roman" w:eastAsia="宋体" w:cs="Times New Roman"/>
                <w:sz w:val="21"/>
                <w:szCs w:val="21"/>
                <w:lang w:val="en-US" w:eastAsia="zh-CN"/>
              </w:rPr>
              <w:t>6.1.1策划总则；6.1.4措施的策划</w:t>
            </w:r>
            <w:r>
              <w:rPr>
                <w:rFonts w:hint="eastAsia" w:cs="宋体" w:asciiTheme="minorEastAsia" w:hAnsiTheme="minorEastAsia" w:eastAsiaTheme="minorEastAsia"/>
                <w:szCs w:val="21"/>
              </w:rPr>
              <w:t>、6.2职业健康安全目标及其实现的策划、9.3管理评审、</w:t>
            </w:r>
            <w:r>
              <w:rPr>
                <w:rFonts w:hint="eastAsia" w:cs="Times New Roman"/>
                <w:sz w:val="21"/>
                <w:szCs w:val="21"/>
                <w:lang w:val="en-US" w:eastAsia="zh-CN"/>
              </w:rPr>
              <w:t>10.1总则、</w:t>
            </w:r>
            <w:r>
              <w:rPr>
                <w:rFonts w:hint="eastAsia" w:cs="宋体" w:asciiTheme="minorEastAsia" w:hAnsiTheme="minorEastAsia" w:eastAsiaTheme="minorEastAsia"/>
                <w:szCs w:val="21"/>
              </w:rPr>
              <w:t>10.3持续改进，</w:t>
            </w:r>
          </w:p>
          <w:p>
            <w:pPr>
              <w:adjustRightInd w:val="0"/>
              <w:snapToGrid w:val="0"/>
              <w:ind w:right="105" w:rightChars="5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职业健康安全财务支出；</w:t>
            </w:r>
          </w:p>
          <w:p>
            <w:pPr>
              <w:ind w:firstLine="420" w:firstLineChars="200"/>
              <w:rPr>
                <w:rFonts w:cs="宋体" w:asciiTheme="minorEastAsia" w:hAnsiTheme="minorEastAsia" w:eastAsiaTheme="minorEastAsia"/>
                <w:sz w:val="24"/>
                <w:szCs w:val="24"/>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723"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理解组织及其环境</w:t>
            </w:r>
          </w:p>
        </w:tc>
        <w:tc>
          <w:tcPr>
            <w:tcW w:w="1019"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O：4.1</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公司基本确定与其目标和战略方向相关并影响其实现质量和职业健康管理体系预期结果的各种外部和内部因素。</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 《组织的内外重要环境因素分析表》，识别内外部因素，内容主要包括人力、财务、质量、技术、政治等因素，并规定了监视、评审方法和频次，以及负责的部门。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组织能充分理解组织所处的内外部环境，针对本年度的疫情影响也进行了收集和分析，基本满足要求。</w:t>
            </w:r>
          </w:p>
        </w:tc>
        <w:tc>
          <w:tcPr>
            <w:tcW w:w="723" w:type="dxa"/>
          </w:tcPr>
          <w:p>
            <w:pPr>
              <w:spacing w:line="32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理解相关方的需求和期望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O：4.2</w:t>
            </w:r>
          </w:p>
        </w:tc>
        <w:tc>
          <w:tcPr>
            <w:tcW w:w="11223" w:type="dxa"/>
            <w:vAlign w:val="center"/>
          </w:tcPr>
          <w:p>
            <w:pPr>
              <w:spacing w:line="360" w:lineRule="auto"/>
              <w:ind w:firstLine="420"/>
              <w:rPr>
                <w:rFonts w:asciiTheme="minorEastAsia" w:hAnsiTheme="minorEastAsia" w:eastAsiaTheme="minorEastAsia"/>
                <w:szCs w:val="24"/>
                <w:lang w:val="zh-CN"/>
              </w:rPr>
            </w:pPr>
            <w:r>
              <w:rPr>
                <w:rFonts w:hint="eastAsia" w:asciiTheme="minorEastAsia" w:hAnsiTheme="minorEastAsia" w:eastAsiaTheme="minorEastAsia"/>
                <w:szCs w:val="24"/>
              </w:rPr>
              <w:t>由办公室</w:t>
            </w:r>
            <w:r>
              <w:rPr>
                <w:rFonts w:hint="eastAsia" w:asciiTheme="minorEastAsia" w:hAnsiTheme="minorEastAsia" w:eastAsiaTheme="minorEastAsia"/>
                <w:szCs w:val="24"/>
                <w:lang w:val="zh-CN"/>
              </w:rPr>
              <w:t>负责组织对相关方的评估，销售部、采购部等配合做好相关方的需求和期望信息的收集，查到：《组织的相关方需求和期望调查表》，对“顾客、供方、员工、政府机构”等相关方的需求和期望等项目进行了影响程度分析，并制定了应对措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zh-CN"/>
              </w:rPr>
              <w:t>相关方需求与期望的确认、监视、评审基本符合要求。</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职业健康安全管理体系的范围</w:t>
            </w:r>
          </w:p>
        </w:tc>
        <w:tc>
          <w:tcPr>
            <w:tcW w:w="1019"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O：4.3 </w:t>
            </w:r>
          </w:p>
          <w:p>
            <w:pPr>
              <w:spacing w:line="360" w:lineRule="auto"/>
              <w:rPr>
                <w:rFonts w:asciiTheme="minorEastAsia" w:hAnsiTheme="minorEastAsia" w:eastAsiaTheme="minorEastAsia"/>
                <w:szCs w:val="24"/>
              </w:rPr>
            </w:pPr>
          </w:p>
        </w:tc>
        <w:tc>
          <w:tcPr>
            <w:tcW w:w="1122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w:t>
            </w:r>
            <w:r>
              <w:rPr>
                <w:rFonts w:hint="eastAsia" w:asciiTheme="minorEastAsia" w:hAnsiTheme="minorEastAsia" w:eastAsiaTheme="minorEastAsia"/>
                <w:szCs w:val="24"/>
              </w:rPr>
              <w:t>的</w:t>
            </w:r>
            <w:r>
              <w:rPr>
                <w:rFonts w:asciiTheme="minorEastAsia" w:hAnsiTheme="minorEastAsia" w:eastAsiaTheme="minorEastAsia"/>
                <w:szCs w:val="24"/>
              </w:rPr>
              <w:t>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bookmarkStart w:id="0" w:name="审核范围"/>
            <w:r>
              <w:rPr>
                <w:sz w:val="20"/>
              </w:rPr>
              <w:t>声屏障、护栏网的生产，防护网、刺绳、石笼网的销售所涉及场所的职业健康安全管理活动</w:t>
            </w:r>
            <w:bookmarkEnd w:id="0"/>
            <w:r>
              <w:rPr>
                <w:rFonts w:hint="eastAsia" w:asciiTheme="minorEastAsia" w:hAnsiTheme="minorEastAsia" w:eastAsiaTheme="minorEastAsia"/>
                <w:szCs w:val="24"/>
              </w:rPr>
              <w:t>。无外包过程。</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职业健康安全管理体系及其过程</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O：4.4  </w:t>
            </w:r>
          </w:p>
          <w:p>
            <w:pPr>
              <w:rPr>
                <w:rFonts w:asciiTheme="minorEastAsia" w:hAnsiTheme="minorEastAsia" w:eastAsiaTheme="minorEastAsia"/>
                <w:szCs w:val="24"/>
              </w:rPr>
            </w:pPr>
          </w:p>
        </w:tc>
        <w:tc>
          <w:tcPr>
            <w:tcW w:w="1122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公司按按照GB/T45001-2020 idt ISO45001:2018 标准的要求建立了文件化的管理体系，识别职业健康安全管理所需的过程。</w:t>
            </w:r>
            <w:bookmarkStart w:id="2" w:name="_GoBack"/>
            <w:bookmarkEnd w:id="2"/>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按照标准建立文件化的职业健康安全管理体系，编制了职业健康安全手册，流程性文件、管理制度、作业指导书、检验规程等；持续对各个过程的监控进行了记录，形成相关的文件化信息，为过程运行提供了支持，以证实过程按照策划执行。</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方针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O：5.2</w:t>
            </w: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企业已制定质量、环境、安全方针，具体包含在《QEO管理手册》C/0版中。</w:t>
            </w:r>
          </w:p>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公司的职业健康安全方针是：</w:t>
            </w:r>
          </w:p>
          <w:p>
            <w:pPr>
              <w:spacing w:line="360" w:lineRule="auto"/>
              <w:ind w:firstLine="42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        规范生产</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安全第一、保障健康</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遵纪守法、持续改进</w:t>
            </w:r>
          </w:p>
          <w:p>
            <w:pPr>
              <w:spacing w:line="360" w:lineRule="auto"/>
              <w:ind w:firstLine="420" w:firstLineChars="200"/>
              <w:rPr>
                <w:rFonts w:hint="eastAsia" w:asciiTheme="minorEastAsia" w:hAnsiTheme="minorEastAsia" w:eastAsiaTheme="minorEastAsia"/>
                <w:szCs w:val="24"/>
              </w:rPr>
            </w:pPr>
            <w:r>
              <w:rPr>
                <w:rFonts w:hint="eastAsia" w:asciiTheme="minorEastAsia" w:hAnsiTheme="minorEastAsia" w:eastAsiaTheme="minorEastAsia"/>
                <w:szCs w:val="24"/>
              </w:rPr>
              <w:t>方针以文件的形式向各部门发放，会议上多次就方针作沟通。</w:t>
            </w:r>
          </w:p>
          <w:p>
            <w:pPr>
              <w:jc w:val="left"/>
              <w:rPr>
                <w:rFonts w:asciiTheme="minorEastAsia" w:hAnsiTheme="minorEastAsia" w:eastAsiaTheme="minorEastAsia"/>
                <w:szCs w:val="24"/>
              </w:rPr>
            </w:pPr>
            <w:r>
              <w:rPr>
                <w:rFonts w:hint="eastAsia" w:asciiTheme="minorEastAsia" w:hAnsiTheme="minorEastAsia" w:eastAsiaTheme="minorEastAsia"/>
                <w:szCs w:val="24"/>
              </w:rPr>
              <w:t>总经理和管代按照标准要求制订的方针，管理评审对职业健康安全方针的适宜性作了评审，判定适宜，适合公司的发展需求。职业健康安全方针符合标准要求。</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组织的角色、职责和权限</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O：5.3  </w:t>
            </w: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组织结构图列出公司的各个部门，各部门的负责人以公司任命书的形式任命，《岗位职责与任职要求》对各部门和各岗位的职责和权限作出规定，能够符合管理体系各项标准的要求，持续确保各个过程获得其预期输出，管理者代表向最高管理者报告职业健康安全管理体系的绩效及改进机会，持续整个组织推动以顾客为关注焦点，在策划和实施管理体系变更时保持其完整性。</w:t>
            </w:r>
          </w:p>
          <w:p>
            <w:pPr>
              <w:jc w:val="left"/>
              <w:rPr>
                <w:rFonts w:asciiTheme="minorEastAsia" w:hAnsiTheme="minorEastAsia" w:eastAsiaTheme="minorEastAsia"/>
                <w:szCs w:val="24"/>
              </w:rPr>
            </w:pPr>
            <w:r>
              <w:rPr>
                <w:rFonts w:hint="eastAsia" w:asciiTheme="minorEastAsia" w:hAnsiTheme="minorEastAsia" w:eastAsiaTheme="minorEastAsia"/>
                <w:szCs w:val="24"/>
              </w:rPr>
              <w:t>管理者代表的职责在《管理手册》中作出规定。</w:t>
            </w:r>
          </w:p>
          <w:p>
            <w:pPr>
              <w:jc w:val="left"/>
              <w:rPr>
                <w:rFonts w:asciiTheme="minorEastAsia" w:hAnsiTheme="minorEastAsia" w:eastAsiaTheme="minorEastAsia"/>
                <w:szCs w:val="24"/>
              </w:rPr>
            </w:pPr>
            <w:r>
              <w:rPr>
                <w:rFonts w:hint="eastAsia" w:asciiTheme="minorEastAsia" w:hAnsiTheme="minorEastAsia" w:eastAsiaTheme="minorEastAsia"/>
                <w:szCs w:val="24"/>
              </w:rPr>
              <w:t>询问管代、陪同人员，基本了解其职责。</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应对风险和机会的措施</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O:6.1.1</w:t>
            </w:r>
          </w:p>
          <w:p>
            <w:pPr>
              <w:rPr>
                <w:rFonts w:asciiTheme="minorEastAsia" w:hAnsiTheme="minorEastAsia" w:eastAsiaTheme="minorEastAsia"/>
                <w:szCs w:val="24"/>
              </w:rPr>
            </w:pPr>
            <w:r>
              <w:rPr>
                <w:rFonts w:asciiTheme="minorEastAsia" w:hAnsiTheme="minorEastAsia" w:eastAsiaTheme="minorEastAsia"/>
                <w:szCs w:val="24"/>
              </w:rPr>
              <w:t>6.1.4</w:t>
            </w:r>
          </w:p>
        </w:tc>
        <w:tc>
          <w:tcPr>
            <w:tcW w:w="11223" w:type="dxa"/>
            <w:vAlign w:val="center"/>
          </w:tcPr>
          <w:p>
            <w:pPr>
              <w:spacing w:line="360" w:lineRule="auto"/>
              <w:ind w:firstLine="468"/>
              <w:rPr>
                <w:rFonts w:asciiTheme="minorEastAsia" w:hAnsiTheme="minorEastAsia" w:eastAsiaTheme="minorEastAsia"/>
                <w:szCs w:val="24"/>
              </w:rPr>
            </w:pPr>
            <w:r>
              <w:rPr>
                <w:rFonts w:hint="eastAsia" w:asciiTheme="minorEastAsia" w:hAnsiTheme="minorEastAsia" w:eastAsiaTheme="minorEastAsia"/>
                <w:szCs w:val="24"/>
              </w:rPr>
              <w:t>编制有《风险和机遇的应对控制程序》，对组织内外的风险和机遇进行了策划。从“与内外部环境有关的风险和机遇、与管理体系运行有关的风险和机遇、与经营过程有关的风险和机遇、与法律法规有关的风险、与危险源有关的风险、与财务资本有关的风险”等方面进行风险源的识别和评价，确定公司的主要风险和机遇，形成《风险和机遇评估分析表》，为控制措施的制定提供依据。</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办公室协助管理者代表组织各部门，通过公司所处环境、相关方的需求及期望、重大危险源、合规义务的分析结果，确定应对的风险和机遇。</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在策划管理体系时，对上述要求进行考虑，确保管理体系能够实现预期的结果。</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目标和措施计划（管理方案）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O:6.2  </w:t>
            </w:r>
          </w:p>
        </w:tc>
        <w:tc>
          <w:tcPr>
            <w:tcW w:w="11223" w:type="dxa"/>
            <w:vAlign w:val="center"/>
          </w:tcPr>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制定的公司职业健康安全目标有</w:t>
            </w:r>
            <w:r>
              <w:rPr>
                <w:rFonts w:asciiTheme="minorEastAsia" w:hAnsiTheme="minorEastAsia" w:eastAsiaTheme="minorEastAsia"/>
                <w:szCs w:val="24"/>
              </w:rPr>
              <w:t>3</w:t>
            </w:r>
            <w:r>
              <w:rPr>
                <w:rFonts w:hint="eastAsia" w:asciiTheme="minorEastAsia" w:hAnsiTheme="minorEastAsia" w:eastAsiaTheme="minorEastAsia"/>
                <w:szCs w:val="24"/>
              </w:rPr>
              <w:t>项：</w:t>
            </w:r>
          </w:p>
          <w:p>
            <w:pPr>
              <w:numPr>
                <w:ilvl w:val="0"/>
                <w:numId w:val="1"/>
              </w:numPr>
              <w:tabs>
                <w:tab w:val="right" w:pos="8306"/>
              </w:tabs>
              <w:spacing w:line="360" w:lineRule="auto"/>
              <w:ind w:left="425" w:leftChars="0" w:hanging="425" w:firstLineChars="0"/>
              <w:rPr>
                <w:rFonts w:hint="eastAsia" w:asciiTheme="minorEastAsia" w:hAnsiTheme="minorEastAsia" w:eastAsiaTheme="minorEastAsia"/>
                <w:szCs w:val="24"/>
              </w:rPr>
            </w:pPr>
            <w:bookmarkStart w:id="1" w:name="_Toc138848257"/>
            <w:r>
              <w:rPr>
                <w:rFonts w:hint="eastAsia" w:asciiTheme="minorEastAsia" w:hAnsiTheme="minorEastAsia" w:eastAsiaTheme="minorEastAsia"/>
                <w:szCs w:val="24"/>
              </w:rPr>
              <w:t>杜绝死亡、重伤事故、火灾事故</w:t>
            </w:r>
            <w:bookmarkEnd w:id="1"/>
            <w:r>
              <w:rPr>
                <w:rFonts w:hint="eastAsia" w:asciiTheme="minorEastAsia" w:hAnsiTheme="minorEastAsia" w:eastAsiaTheme="minorEastAsia"/>
                <w:szCs w:val="24"/>
              </w:rPr>
              <w:t>；</w:t>
            </w:r>
          </w:p>
          <w:p>
            <w:pPr>
              <w:numPr>
                <w:ilvl w:val="0"/>
                <w:numId w:val="1"/>
              </w:numPr>
              <w:tabs>
                <w:tab w:val="right" w:pos="8306"/>
              </w:tabs>
              <w:spacing w:line="360" w:lineRule="auto"/>
              <w:ind w:left="425" w:leftChars="0" w:hanging="425" w:firstLineChars="0"/>
              <w:rPr>
                <w:rFonts w:hint="eastAsia" w:asciiTheme="minorEastAsia" w:hAnsiTheme="minorEastAsia" w:eastAsiaTheme="minorEastAsia"/>
                <w:szCs w:val="24"/>
              </w:rPr>
            </w:pPr>
            <w:r>
              <w:rPr>
                <w:rFonts w:hint="eastAsia" w:asciiTheme="minorEastAsia" w:hAnsiTheme="minorEastAsia" w:eastAsiaTheme="minorEastAsia"/>
                <w:szCs w:val="24"/>
              </w:rPr>
              <w:t>轻伤事故每年</w:t>
            </w:r>
            <w:r>
              <w:rPr>
                <w:rFonts w:hint="eastAsia" w:asciiTheme="minorEastAsia" w:hAnsiTheme="minorEastAsia" w:eastAsiaTheme="minorEastAsia"/>
                <w:szCs w:val="24"/>
                <w:lang w:val="en-US" w:eastAsia="zh-CN"/>
              </w:rPr>
              <w:t>不超过</w:t>
            </w:r>
            <w:r>
              <w:rPr>
                <w:rFonts w:hint="eastAsia" w:asciiTheme="minorEastAsia" w:hAnsiTheme="minorEastAsia" w:eastAsiaTheme="minorEastAsia"/>
                <w:szCs w:val="24"/>
              </w:rPr>
              <w:t>3起；</w:t>
            </w:r>
          </w:p>
          <w:p>
            <w:pPr>
              <w:numPr>
                <w:ilvl w:val="0"/>
                <w:numId w:val="1"/>
              </w:numPr>
              <w:tabs>
                <w:tab w:val="right" w:pos="8306"/>
              </w:tabs>
              <w:spacing w:line="360" w:lineRule="auto"/>
              <w:ind w:left="425" w:leftChars="0" w:hanging="425" w:firstLineChars="0"/>
              <w:rPr>
                <w:rFonts w:hint="eastAsia" w:asciiTheme="minorEastAsia" w:hAnsiTheme="minorEastAsia" w:eastAsiaTheme="minorEastAsia"/>
                <w:szCs w:val="24"/>
              </w:rPr>
            </w:pPr>
            <w:r>
              <w:rPr>
                <w:rFonts w:hint="eastAsia" w:asciiTheme="minorEastAsia" w:hAnsiTheme="minorEastAsia" w:eastAsiaTheme="minorEastAsia"/>
                <w:szCs w:val="24"/>
              </w:rPr>
              <w:t>杜绝职业病的发生。</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提供的《202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年职业健康安全目标、指标和方案检查记录》。表明目标已分解到各部门，有考核，经</w:t>
            </w:r>
            <w:r>
              <w:rPr>
                <w:rFonts w:hint="eastAsia" w:asciiTheme="minorEastAsia" w:hAnsiTheme="minorEastAsia" w:eastAsiaTheme="minorEastAsia"/>
                <w:szCs w:val="24"/>
                <w:lang w:val="en-US" w:eastAsia="zh-CN"/>
              </w:rPr>
              <w:t>每季度考核一次。最近的是</w:t>
            </w:r>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9</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30</w:t>
            </w:r>
            <w:r>
              <w:rPr>
                <w:rFonts w:hint="eastAsia" w:asciiTheme="minorEastAsia" w:hAnsiTheme="minorEastAsia" w:eastAsiaTheme="minorEastAsia"/>
                <w:szCs w:val="24"/>
              </w:rPr>
              <w:t>考核目标</w:t>
            </w:r>
            <w:r>
              <w:rPr>
                <w:rFonts w:hint="eastAsia" w:asciiTheme="minorEastAsia" w:hAnsiTheme="minorEastAsia" w:eastAsiaTheme="minorEastAsia"/>
                <w:szCs w:val="24"/>
                <w:lang w:val="en-US" w:eastAsia="zh-CN"/>
              </w:rPr>
              <w:t>已</w:t>
            </w:r>
            <w:r>
              <w:rPr>
                <w:rFonts w:hint="eastAsia" w:asciiTheme="minorEastAsia" w:hAnsiTheme="minorEastAsia" w:eastAsiaTheme="minorEastAsia"/>
                <w:szCs w:val="24"/>
              </w:rPr>
              <w:t>达成。并说明措施、实施步骤及预算等，基本满足体系运行持续有效。</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协商与参与</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O5.4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w:t>
            </w:r>
            <w:r>
              <w:rPr>
                <w:rFonts w:hint="eastAsia" w:ascii="宋体" w:hAnsi="宋体"/>
                <w:szCs w:val="22"/>
              </w:rPr>
              <w:t>信息交流 、沟通、参与和 协商控制程序》。</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通过各种会议、文件下发、培训、检查、电话、交谈、微信、互联网、内网等形式，对合同、销售、服务、质量、体系、环境因素、危险源等进行内部沟通，促进各部门和岗位相互了解和信任，达到全员增强质量和职业健康安全的意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公司任命</w:t>
            </w:r>
            <w:r>
              <w:rPr>
                <w:rFonts w:hint="eastAsia" w:asciiTheme="minorEastAsia" w:hAnsiTheme="minorEastAsia" w:eastAsiaTheme="minorEastAsia"/>
                <w:szCs w:val="24"/>
                <w:lang w:eastAsia="zh-CN"/>
              </w:rPr>
              <w:t>王其</w:t>
            </w:r>
            <w:r>
              <w:rPr>
                <w:rFonts w:hint="eastAsia" w:asciiTheme="minorEastAsia" w:hAnsiTheme="minorEastAsia" w:eastAsiaTheme="minorEastAsia"/>
                <w:szCs w:val="24"/>
              </w:rPr>
              <w:t>为职业健康安全事务代表,就职业健康安全事务进行沟通、参与和协商。职业健康安全事务代表能履行职责，代表员工参与职业健康安全事务等，确保了体系的有效运行。</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利用电话、信函、走访、回访、顾客满意度调查等方式进行外部信息交流，确保质量/职业健康安全管理信息与相关方得到有效沟通。</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为各部门管理人员及非管理类工作人员明确了职责和权限，各部门管理人员及非管理类工作人员参与了环境因素和危险源辨识、风险和机遇评价和控制措施的确定，共同参与了质量和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各部门负责与业务有关的内外部信息沟通。管理者代表、职业健康安全事务代表等共同参与信息沟通，公司内外部的沟通渠道顺畅。</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现场审核会议记录、通知通报、培训记录、文件签收等组织内部培训方式相关记录。基本符合。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现有的沟通渠道和方法能满足要求。审核中未发现因沟通不当、不及时而造成影响体系管理正常运行的情况。</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管理评审</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O:9.3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公司编制的《管理评审程序》，基本规定管理评审相关内容和要求。202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.2</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日进行了管理评审</w:t>
            </w:r>
            <w:ins w:id="0" w:author="肖" w:date="2020-04-29T20:11:00Z">
              <w:r>
                <w:rPr>
                  <w:rFonts w:hint="eastAsia" w:asciiTheme="minorEastAsia" w:hAnsiTheme="minorEastAsia" w:eastAsiaTheme="minorEastAsia"/>
                  <w:szCs w:val="24"/>
                </w:rPr>
                <w:t>。</w:t>
              </w:r>
            </w:ins>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查看 “管理评审计划”，由庾红编制，</w:t>
            </w:r>
            <w:r>
              <w:rPr>
                <w:rFonts w:hint="eastAsia" w:asciiTheme="minorEastAsia" w:hAnsiTheme="minorEastAsia" w:eastAsiaTheme="minorEastAsia"/>
                <w:szCs w:val="24"/>
                <w:lang w:eastAsia="zh-CN"/>
              </w:rPr>
              <w:t>陆帅</w:t>
            </w:r>
            <w:r>
              <w:rPr>
                <w:rFonts w:hint="eastAsia" w:asciiTheme="minorEastAsia" w:hAnsiTheme="minorEastAsia" w:eastAsiaTheme="minorEastAsia"/>
                <w:szCs w:val="24"/>
              </w:rPr>
              <w:t>批准；内容包括；评审目的、评审范围、评审时间、评审输入内容等。</w:t>
            </w:r>
          </w:p>
          <w:p>
            <w:pPr>
              <w:spacing w:line="360" w:lineRule="auto"/>
              <w:ind w:firstLine="420" w:firstLineChars="200"/>
              <w:rPr>
                <w:rFonts w:hint="eastAsia" w:asciiTheme="minorEastAsia" w:hAnsiTheme="minorEastAsia" w:eastAsiaTheme="minorEastAsia"/>
                <w:szCs w:val="24"/>
              </w:rPr>
            </w:pPr>
            <w:r>
              <w:rPr>
                <w:rFonts w:hint="eastAsia" w:asciiTheme="minorEastAsia" w:hAnsiTheme="minorEastAsia" w:eastAsiaTheme="minorEastAsia"/>
                <w:szCs w:val="24"/>
              </w:rPr>
              <w:t>管理评审输入:各部门工作报告、与质量/职业健康安全管理体系相关的内外部因素的变化，顾客满意和相关方的反馈，目标的实现情况，监视和测量结果，内部审核结果，外部供方的绩效，资源的充分性，应对风险和机遇所采取的措施，重要危险源，合规义务履行情况，事件调查、纠正和预防措施，</w:t>
            </w:r>
            <w:r>
              <w:rPr>
                <w:rFonts w:hint="eastAsia" w:asciiTheme="minorEastAsia" w:hAnsiTheme="minorEastAsia" w:eastAsiaTheme="minorEastAsia"/>
                <w:szCs w:val="24"/>
                <w:lang w:val="en-US" w:eastAsia="zh-CN"/>
              </w:rPr>
              <w:t>上次不符合的整改情况，</w:t>
            </w:r>
            <w:r>
              <w:rPr>
                <w:rFonts w:hint="eastAsia" w:asciiTheme="minorEastAsia" w:hAnsiTheme="minorEastAsia" w:eastAsiaTheme="minorEastAsia"/>
                <w:szCs w:val="24"/>
              </w:rPr>
              <w:t>改进的机会等。管理评审的输入基本充分。查到各部门汇报材料，并提供了管理评审会议记录，参加人员包括管理评审会议由总经理主持，管理者代表协助。各部门负责人参加汇报。等。</w:t>
            </w:r>
          </w:p>
          <w:p>
            <w:pPr>
              <w:spacing w:line="360" w:lineRule="auto"/>
              <w:ind w:firstLine="420" w:firstLineChars="200"/>
              <w:rPr>
                <w:rFonts w:hint="default" w:asciiTheme="minorEastAsia" w:hAnsiTheme="minorEastAsia" w:eastAsiaTheme="minorEastAsia"/>
                <w:szCs w:val="24"/>
                <w:lang w:val="en-US" w:eastAsia="zh-CN"/>
              </w:rPr>
            </w:pPr>
            <w:r>
              <w:rPr>
                <w:rFonts w:hint="eastAsia" w:asciiTheme="minorEastAsia" w:hAnsiTheme="minorEastAsia" w:eastAsiaTheme="minorEastAsia"/>
                <w:szCs w:val="24"/>
              </w:rPr>
              <w:t>管理评审输出：</w:t>
            </w:r>
            <w:r>
              <w:rPr>
                <w:rFonts w:hint="eastAsia" w:asciiTheme="minorEastAsia" w:hAnsiTheme="minorEastAsia" w:eastAsiaTheme="minorEastAsia"/>
                <w:szCs w:val="24"/>
                <w:lang w:val="en-US" w:eastAsia="zh-CN"/>
              </w:rPr>
              <w:t>提高公司员工的职业健康意识。</w:t>
            </w:r>
          </w:p>
          <w:p>
            <w:pPr>
              <w:spacing w:line="360" w:lineRule="auto"/>
              <w:ind w:firstLine="420"/>
              <w:rPr>
                <w:ins w:id="1" w:author="肖" w:date="2020-04-29T20:36:00Z"/>
                <w:rFonts w:asciiTheme="minorEastAsia" w:hAnsiTheme="minorEastAsia" w:eastAsiaTheme="minorEastAsia"/>
                <w:szCs w:val="24"/>
              </w:rPr>
            </w:pPr>
            <w:r>
              <w:rPr>
                <w:rFonts w:hint="eastAsia" w:asciiTheme="minorEastAsia" w:hAnsiTheme="minorEastAsia" w:eastAsiaTheme="minorEastAsia"/>
                <w:szCs w:val="24"/>
              </w:rPr>
              <w:t>查看了总经理</w:t>
            </w:r>
            <w:r>
              <w:rPr>
                <w:rFonts w:hint="eastAsia" w:asciiTheme="minorEastAsia" w:hAnsiTheme="minorEastAsia" w:eastAsiaTheme="minorEastAsia"/>
                <w:szCs w:val="24"/>
                <w:lang w:eastAsia="zh-CN"/>
              </w:rPr>
              <w:t>陆帅</w:t>
            </w:r>
            <w:r>
              <w:rPr>
                <w:rFonts w:hint="eastAsia" w:asciiTheme="minorEastAsia" w:hAnsiTheme="minorEastAsia" w:eastAsiaTheme="minorEastAsia"/>
                <w:szCs w:val="24"/>
              </w:rPr>
              <w:t>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360" w:lineRule="auto"/>
              <w:ind w:firstLine="420"/>
              <w:rPr>
                <w:rFonts w:asciiTheme="minorEastAsia" w:hAnsiTheme="minorEastAsia" w:eastAsiaTheme="minorEastAsia"/>
                <w:szCs w:val="24"/>
              </w:rPr>
            </w:pPr>
            <w:r>
              <w:rPr>
                <w:rFonts w:hint="eastAsia" w:asciiTheme="minorEastAsia" w:hAnsiTheme="minorEastAsia" w:eastAsiaTheme="minorEastAsia"/>
                <w:szCs w:val="24"/>
              </w:rPr>
              <w:t>评审结论：公司的管理体系是适宜的、充分的和有效的，达到了顾客满意和持续改进的目的。</w:t>
            </w:r>
          </w:p>
          <w:p>
            <w:pPr>
              <w:spacing w:line="420" w:lineRule="exact"/>
              <w:ind w:right="-1678" w:firstLine="315" w:firstLineChars="150"/>
              <w:outlineLvl w:val="0"/>
              <w:rPr>
                <w:rFonts w:hint="default" w:asciiTheme="minorEastAsia" w:hAnsiTheme="minorEastAsia" w:eastAsiaTheme="minorEastAsia"/>
                <w:szCs w:val="24"/>
                <w:lang w:val="en-US" w:eastAsia="zh-CN"/>
              </w:rPr>
            </w:pPr>
            <w:r>
              <w:rPr>
                <w:rFonts w:hint="eastAsia" w:asciiTheme="minorEastAsia" w:hAnsiTheme="minorEastAsia" w:eastAsiaTheme="minorEastAsia"/>
                <w:szCs w:val="24"/>
              </w:rPr>
              <w:t>提出的改进意见为</w:t>
            </w:r>
            <w:r>
              <w:rPr>
                <w:rFonts w:hint="eastAsia" w:asciiTheme="minorEastAsia" w:hAnsiTheme="minorEastAsia" w:eastAsiaTheme="minorEastAsia"/>
                <w:szCs w:val="24"/>
                <w:lang w:val="en-US" w:eastAsia="zh-CN"/>
              </w:rPr>
              <w:t>对公司员工进行职业健康安全意识培训。</w:t>
            </w:r>
          </w:p>
          <w:p>
            <w:pPr>
              <w:spacing w:line="360" w:lineRule="auto"/>
              <w:ind w:firstLine="420" w:firstLineChars="200"/>
              <w:rPr>
                <w:rFonts w:hint="eastAsia" w:asciiTheme="minorEastAsia" w:hAnsiTheme="minorEastAsia" w:eastAsiaTheme="minorEastAsia"/>
                <w:szCs w:val="24"/>
              </w:rPr>
            </w:pPr>
            <w:r>
              <w:rPr>
                <w:rFonts w:hint="eastAsia" w:asciiTheme="minorEastAsia" w:hAnsiTheme="minorEastAsia" w:eastAsiaTheme="minorEastAsia"/>
                <w:color w:val="000000"/>
                <w:szCs w:val="24"/>
              </w:rPr>
              <w:t>改进措施</w:t>
            </w:r>
            <w:r>
              <w:rPr>
                <w:rFonts w:hint="eastAsia" w:asciiTheme="minorEastAsia" w:hAnsiTheme="minorEastAsia" w:eastAsiaTheme="minorEastAsia"/>
                <w:color w:val="000000"/>
                <w:szCs w:val="24"/>
                <w:lang w:val="en-US" w:eastAsia="zh-CN"/>
              </w:rPr>
              <w:t>已完成</w:t>
            </w:r>
            <w:r>
              <w:rPr>
                <w:rFonts w:hint="eastAsia" w:asciiTheme="minorEastAsia" w:hAnsiTheme="minorEastAsia" w:eastAsiaTheme="minorEastAsia"/>
                <w:color w:val="000000"/>
                <w:szCs w:val="24"/>
              </w:rPr>
              <w:t>。</w:t>
            </w:r>
            <w:r>
              <w:rPr>
                <w:rFonts w:hint="eastAsia" w:asciiTheme="minorEastAsia" w:hAnsiTheme="minorEastAsia" w:eastAsiaTheme="minorEastAsia"/>
                <w:szCs w:val="24"/>
              </w:rPr>
              <w:t>管理评审的策划及实施符合要求。</w:t>
            </w:r>
          </w:p>
          <w:p>
            <w:pPr>
              <w:spacing w:line="360" w:lineRule="auto"/>
              <w:ind w:firstLine="420" w:firstLineChars="200"/>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drawing>
                <wp:inline distT="0" distB="0" distL="114300" distR="114300">
                  <wp:extent cx="2924810" cy="2975610"/>
                  <wp:effectExtent l="0" t="0" r="8890" b="8890"/>
                  <wp:docPr id="1" name="图片 1" descr="签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到表"/>
                          <pic:cNvPicPr>
                            <a:picLocks noChangeAspect="1"/>
                          </pic:cNvPicPr>
                        </pic:nvPicPr>
                        <pic:blipFill>
                          <a:blip r:embed="rId6"/>
                          <a:stretch>
                            <a:fillRect/>
                          </a:stretch>
                        </pic:blipFill>
                        <pic:spPr>
                          <a:xfrm>
                            <a:off x="0" y="0"/>
                            <a:ext cx="2924810" cy="2975610"/>
                          </a:xfrm>
                          <a:prstGeom prst="rect">
                            <a:avLst/>
                          </a:prstGeom>
                        </pic:spPr>
                      </pic:pic>
                    </a:graphicData>
                  </a:graphic>
                </wp:inline>
              </w:drawing>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改进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O:10.1、10.3</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根据公司的战略方向，利用质量/职业健康安全管理方针、质量/职业健康安全管理目标、审核结果、数据分析、管理评审、风险和机遇的应对措施、合规性评价、职业健康安全管理绩效分析和评价，发现改进的机会，采取措施，实施对管理体系的有效性的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019" w:type="dxa"/>
          </w:tcPr>
          <w:p>
            <w:pPr>
              <w:rPr>
                <w:rFonts w:asciiTheme="minorEastAsia" w:hAnsiTheme="minorEastAsia" w:eastAsiaTheme="minorEastAsia"/>
                <w:szCs w:val="24"/>
              </w:rPr>
            </w:pPr>
          </w:p>
        </w:tc>
        <w:tc>
          <w:tcPr>
            <w:tcW w:w="11223"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公司成立和体系运行以来，未受到上级主管部门有关职业健康安全的行政处罚。未发生相关方的投诉。到目前为止没有国家/地方抽查情况。</w:t>
            </w:r>
          </w:p>
          <w:p>
            <w:pPr>
              <w:snapToGrid w:val="0"/>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查国家企业信用信息公示系统，目前没有相关行政主管部门的检查处罚，在审核现场也未发现抽查、相关方投诉等情况。</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tcPr>
          <w:p>
            <w:pPr>
              <w:rPr>
                <w:rFonts w:asciiTheme="minorEastAsia" w:hAnsiTheme="minorEastAsia" w:eastAsiaTheme="minorEastAsia"/>
                <w:szCs w:val="24"/>
              </w:rPr>
            </w:pPr>
            <w:r>
              <w:rPr>
                <w:rFonts w:hint="eastAsia" w:ascii="宋体" w:hAnsi="宋体" w:cs="Arial"/>
                <w:sz w:val="21"/>
                <w:szCs w:val="21"/>
              </w:rPr>
              <w:t>标准/规范/法规的执行情况</w:t>
            </w:r>
          </w:p>
        </w:tc>
        <w:tc>
          <w:tcPr>
            <w:tcW w:w="1019" w:type="dxa"/>
          </w:tcPr>
          <w:p>
            <w:pPr>
              <w:rPr>
                <w:rFonts w:asciiTheme="minorEastAsia" w:hAnsiTheme="minorEastAsia" w:eastAsiaTheme="minorEastAsia"/>
                <w:szCs w:val="24"/>
              </w:rPr>
            </w:pPr>
          </w:p>
        </w:tc>
        <w:tc>
          <w:tcPr>
            <w:tcW w:w="1122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lang w:val="en-US" w:eastAsia="zh-CN"/>
              </w:rPr>
              <w:t>严格按照标准/规范/法规运行体系，</w:t>
            </w:r>
            <w:r>
              <w:rPr>
                <w:rFonts w:hint="eastAsia" w:asciiTheme="minorEastAsia" w:hAnsiTheme="minorEastAsia" w:eastAsiaTheme="minorEastAsia"/>
                <w:szCs w:val="24"/>
              </w:rPr>
              <w:t>自公司成立以来，未受到上级主管部门有关职业健康安全的行政处罚。未发生相关方的投诉。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napToGrid w:val="0"/>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rPr>
                <w:rFonts w:asciiTheme="minorEastAsia" w:hAnsiTheme="minorEastAsia" w:eastAsiaTheme="minorEastAsia"/>
                <w:szCs w:val="24"/>
              </w:rPr>
            </w:pPr>
            <w:r>
              <w:rPr>
                <w:rFonts w:hint="eastAsia" w:ascii="宋体" w:hAnsi="宋体" w:cs="Arial"/>
                <w:sz w:val="21"/>
                <w:szCs w:val="21"/>
              </w:rPr>
              <w:t>认证证书、标志的使用情况</w:t>
            </w:r>
          </w:p>
        </w:tc>
        <w:tc>
          <w:tcPr>
            <w:tcW w:w="1019" w:type="dxa"/>
          </w:tcPr>
          <w:p>
            <w:pPr>
              <w:rPr>
                <w:rFonts w:asciiTheme="minorEastAsia" w:hAnsiTheme="minorEastAsia" w:eastAsiaTheme="minorEastAsia"/>
                <w:szCs w:val="24"/>
              </w:rPr>
            </w:pPr>
          </w:p>
        </w:tc>
        <w:tc>
          <w:tcPr>
            <w:tcW w:w="11223" w:type="dxa"/>
            <w:vAlign w:val="center"/>
          </w:tcPr>
          <w:p>
            <w:pPr>
              <w:ind w:firstLine="420" w:firstLineChars="200"/>
              <w:rPr>
                <w:rFonts w:asciiTheme="minorEastAsia" w:hAnsiTheme="minorEastAsia" w:eastAsiaTheme="minorEastAsia"/>
                <w:szCs w:val="24"/>
              </w:rPr>
            </w:pPr>
            <w:r>
              <w:rPr>
                <w:rFonts w:hint="eastAsia" w:cs="宋体" w:asciiTheme="minorEastAsia" w:hAnsiTheme="minorEastAsia" w:eastAsiaTheme="minorEastAsia"/>
                <w:szCs w:val="21"/>
              </w:rPr>
              <w:t>企业管理体系获取的证书主要用于销售或招投标业务。</w:t>
            </w:r>
          </w:p>
        </w:tc>
        <w:tc>
          <w:tcPr>
            <w:tcW w:w="723"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rPr>
                <w:rFonts w:hint="eastAsia" w:ascii="宋体" w:hAnsi="宋体" w:cs="Arial"/>
                <w:sz w:val="21"/>
                <w:szCs w:val="21"/>
              </w:rPr>
            </w:pPr>
            <w:r>
              <w:rPr>
                <w:rFonts w:hint="eastAsia" w:ascii="宋体" w:hAnsi="宋体" w:cs="Arial"/>
                <w:sz w:val="21"/>
                <w:szCs w:val="21"/>
              </w:rPr>
              <w:t>上次审核不符合项的验证</w:t>
            </w:r>
          </w:p>
        </w:tc>
        <w:tc>
          <w:tcPr>
            <w:tcW w:w="1019" w:type="dxa"/>
          </w:tcPr>
          <w:p>
            <w:pPr>
              <w:rPr>
                <w:rFonts w:asciiTheme="minorEastAsia" w:hAnsiTheme="minorEastAsia" w:eastAsiaTheme="minorEastAsia"/>
                <w:szCs w:val="24"/>
              </w:rPr>
            </w:pPr>
          </w:p>
        </w:tc>
        <w:tc>
          <w:tcPr>
            <w:tcW w:w="11223" w:type="dxa"/>
            <w:vAlign w:val="center"/>
          </w:tcPr>
          <w:p>
            <w:pPr>
              <w:ind w:firstLine="420" w:firstLineChars="200"/>
              <w:rPr>
                <w:rFonts w:asciiTheme="minorEastAsia" w:hAnsiTheme="minorEastAsia" w:eastAsiaTheme="minorEastAsia"/>
                <w:szCs w:val="24"/>
              </w:rPr>
            </w:pPr>
            <w:r>
              <w:rPr>
                <w:rFonts w:hint="eastAsia" w:cs="宋体" w:asciiTheme="minorEastAsia" w:hAnsiTheme="minorEastAsia" w:eastAsiaTheme="minorEastAsia"/>
                <w:szCs w:val="21"/>
              </w:rPr>
              <w:t>经现场查验均按要求进行了整改，验证合格。</w:t>
            </w:r>
          </w:p>
        </w:tc>
        <w:tc>
          <w:tcPr>
            <w:tcW w:w="723" w:type="dxa"/>
          </w:tcPr>
          <w:p>
            <w:pPr>
              <w:spacing w:line="32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adjustRightInd w:val="0"/>
              <w:snapToGrid w:val="0"/>
              <w:spacing w:line="360" w:lineRule="auto"/>
              <w:ind w:right="105" w:rightChars="50"/>
              <w:textAlignment w:val="baseline"/>
              <w:rPr>
                <w:rFonts w:hint="eastAsia" w:ascii="宋体" w:hAnsi="宋体" w:cs="Arial"/>
                <w:sz w:val="21"/>
                <w:szCs w:val="21"/>
              </w:rPr>
            </w:pPr>
            <w:r>
              <w:rPr>
                <w:rFonts w:hint="eastAsia" w:ascii="宋体" w:hAnsi="宋体" w:cs="Arial"/>
                <w:spacing w:val="-6"/>
                <w:sz w:val="21"/>
                <w:szCs w:val="21"/>
              </w:rPr>
              <w:t>职业健康安全财务支出；</w:t>
            </w:r>
          </w:p>
        </w:tc>
        <w:tc>
          <w:tcPr>
            <w:tcW w:w="1019" w:type="dxa"/>
          </w:tcPr>
          <w:p>
            <w:pPr>
              <w:rPr>
                <w:rFonts w:asciiTheme="minorEastAsia" w:hAnsiTheme="minorEastAsia" w:eastAsiaTheme="minorEastAsia"/>
                <w:szCs w:val="24"/>
              </w:rPr>
            </w:pPr>
          </w:p>
        </w:tc>
        <w:tc>
          <w:tcPr>
            <w:tcW w:w="11223" w:type="dxa"/>
            <w:vAlign w:val="center"/>
          </w:tcPr>
          <w:p>
            <w:pPr>
              <w:ind w:firstLine="420" w:firstLineChars="200"/>
              <w:rPr>
                <w:rFonts w:asciiTheme="minorEastAsia" w:hAnsiTheme="minorEastAsia" w:eastAsiaTheme="minorEastAsia"/>
                <w:szCs w:val="24"/>
              </w:rPr>
            </w:pPr>
            <w:r>
              <w:rPr>
                <w:rFonts w:hint="eastAsia" w:ascii="宋体" w:hAnsi="宋体"/>
                <w:color w:val="000000"/>
                <w:szCs w:val="24"/>
              </w:rPr>
              <w:t>据</w:t>
            </w:r>
            <w:r>
              <w:rPr>
                <w:rFonts w:hint="eastAsia" w:ascii="宋体" w:hAnsi="宋体"/>
                <w:color w:val="000000"/>
                <w:szCs w:val="24"/>
                <w:lang w:val="en-US" w:eastAsia="zh-CN"/>
              </w:rPr>
              <w:t>管代</w:t>
            </w:r>
            <w:r>
              <w:rPr>
                <w:rFonts w:hint="eastAsia" w:ascii="宋体" w:hAnsi="宋体"/>
                <w:color w:val="000000"/>
                <w:szCs w:val="24"/>
              </w:rPr>
              <w:t>介绍，一共为体系的建立实施和改进投入</w:t>
            </w:r>
            <w:r>
              <w:rPr>
                <w:rFonts w:hint="eastAsia" w:asciiTheme="minorEastAsia" w:hAnsiTheme="minorEastAsia" w:eastAsiaTheme="minorEastAsia"/>
                <w:szCs w:val="24"/>
              </w:rPr>
              <w:t>了各种资源、资金等约</w:t>
            </w:r>
            <w:r>
              <w:rPr>
                <w:rFonts w:hint="eastAsia" w:asciiTheme="minorEastAsia" w:hAnsiTheme="minorEastAsia" w:eastAsiaTheme="minorEastAsia"/>
                <w:szCs w:val="24"/>
                <w:lang w:val="en-US" w:eastAsia="zh-CN"/>
              </w:rPr>
              <w:t>11500</w:t>
            </w:r>
            <w:r>
              <w:rPr>
                <w:rFonts w:hint="eastAsia" w:asciiTheme="minorEastAsia" w:hAnsiTheme="minorEastAsia" w:eastAsiaTheme="minorEastAsia"/>
                <w:szCs w:val="24"/>
              </w:rPr>
              <w:t>元</w:t>
            </w:r>
            <w:r>
              <w:rPr>
                <w:rFonts w:asciiTheme="minorEastAsia" w:hAnsiTheme="minorEastAsia" w:eastAsiaTheme="minorEastAsia"/>
                <w:szCs w:val="24"/>
              </w:rPr>
              <w:t>,</w:t>
            </w:r>
          </w:p>
        </w:tc>
        <w:tc>
          <w:tcPr>
            <w:tcW w:w="723" w:type="dxa"/>
          </w:tcPr>
          <w:p>
            <w:pPr>
              <w:spacing w:line="320" w:lineRule="exact"/>
              <w:rPr>
                <w:rFonts w:hint="eastAsia" w:cs="宋体"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变更</w:t>
            </w:r>
          </w:p>
        </w:tc>
        <w:tc>
          <w:tcPr>
            <w:tcW w:w="1019" w:type="dxa"/>
          </w:tcPr>
          <w:p>
            <w:pPr>
              <w:rPr>
                <w:rFonts w:asciiTheme="minorEastAsia" w:hAnsiTheme="minorEastAsia" w:eastAsiaTheme="minorEastAsia"/>
                <w:szCs w:val="24"/>
              </w:rPr>
            </w:pPr>
          </w:p>
        </w:tc>
        <w:tc>
          <w:tcPr>
            <w:tcW w:w="11223" w:type="dxa"/>
            <w:vAlign w:val="center"/>
          </w:tcPr>
          <w:p>
            <w:pPr>
              <w:ind w:firstLine="400" w:firstLineChars="200"/>
              <w:rPr>
                <w:rFonts w:hint="default" w:ascii="宋体" w:hAnsi="宋体" w:eastAsiaTheme="minorEastAsia"/>
                <w:color w:val="000000"/>
                <w:szCs w:val="24"/>
                <w:lang w:val="en-US" w:eastAsia="zh-CN"/>
              </w:rPr>
            </w:pPr>
            <w:r>
              <w:rPr>
                <w:rFonts w:hint="eastAsia" w:asciiTheme="minorEastAsia" w:hAnsiTheme="minorEastAsia" w:eastAsiaTheme="minorEastAsia"/>
                <w:sz w:val="20"/>
                <w:lang w:val="en-US" w:eastAsia="zh-CN"/>
              </w:rPr>
              <w:t>无</w:t>
            </w:r>
          </w:p>
        </w:tc>
        <w:tc>
          <w:tcPr>
            <w:tcW w:w="723" w:type="dxa"/>
          </w:tcPr>
          <w:p>
            <w:pPr>
              <w:spacing w:line="320" w:lineRule="exact"/>
              <w:rPr>
                <w:rFonts w:hint="eastAsia" w:cs="宋体" w:asciiTheme="minorEastAsia" w:hAnsiTheme="minorEastAsia" w:eastAsiaTheme="minorEastAsia"/>
                <w:szCs w:val="21"/>
                <w:lang w:val="en-US" w:eastAsia="zh-CN"/>
              </w:rPr>
            </w:pPr>
          </w:p>
        </w:tc>
      </w:tr>
    </w:tbl>
    <w:p>
      <w:pPr>
        <w:pStyle w:val="5"/>
        <w:rPr>
          <w:rFonts w:asciiTheme="minorEastAsia" w:hAnsiTheme="minorEastAsia" w:eastAsiaTheme="minorEastAsia"/>
        </w:rPr>
      </w:pPr>
      <w:r>
        <w:rPr>
          <w:rFonts w:hint="eastAsia" w:asciiTheme="minorEastAsia" w:hAnsiTheme="minorEastAsia" w:eastAsiaTheme="minorEastAsia"/>
        </w:rPr>
        <w:t>说明：不符合标注N</w:t>
      </w:r>
    </w:p>
    <w:p>
      <w:pPr>
        <w:pStyle w:val="5"/>
        <w:rPr>
          <w:rFonts w:asciiTheme="minorEastAsia" w:hAnsiTheme="minorEastAsia" w:eastAsiaTheme="minorEastAsia"/>
        </w:rPr>
      </w:pPr>
    </w:p>
    <w:p>
      <w:pPr>
        <w:widowControl/>
        <w:jc w:val="left"/>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14ACF"/>
    <w:multiLevelType w:val="singleLevel"/>
    <w:tmpl w:val="73B14ACF"/>
    <w:lvl w:ilvl="0" w:tentative="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113BD"/>
    <w:rsid w:val="06C84863"/>
    <w:rsid w:val="06D849E3"/>
    <w:rsid w:val="1E800CB0"/>
    <w:rsid w:val="2F0360E0"/>
    <w:rsid w:val="37E538FB"/>
    <w:rsid w:val="3F1D2F3F"/>
    <w:rsid w:val="4DA524E0"/>
    <w:rsid w:val="4F8160A0"/>
    <w:rsid w:val="5C743C9D"/>
    <w:rsid w:val="5CB87080"/>
    <w:rsid w:val="62264400"/>
    <w:rsid w:val="6E4A58C8"/>
    <w:rsid w:val="7942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2022-01-08T09:33:48Z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