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9" o:spt="75" type="#_x0000_t75" style="position:absolute;left:0pt;margin-left:169.75pt;margin-top:-36.8pt;height:117.35pt;width:135.75pt;mso-wrap-distance-left:9pt;mso-wrap-distance-right:9pt;z-index:-251660288;mso-width-relative:page;mso-height-relative:page;" filled="f" o:preferrelative="t" stroked="f" coordsize="21600,21600"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楷体" w:hAnsi="楷体" w:eastAsia="楷体"/>
          <w:b/>
          <w:color w:val="000000"/>
          <w:sz w:val="28"/>
          <w:szCs w:val="28"/>
          <w:u w:val="single"/>
        </w:rPr>
      </w:pPr>
      <w:r>
        <w:rPr>
          <w:rFonts w:hint="eastAsia" w:ascii="楷体" w:hAnsi="楷体" w:eastAsia="楷体"/>
          <w:b/>
          <w:color w:val="000000"/>
          <w:sz w:val="32"/>
          <w:szCs w:val="32"/>
        </w:rPr>
        <w:t>受审核方：</w:t>
      </w:r>
      <w:r>
        <w:rPr>
          <w:rFonts w:ascii="宋体"/>
          <w:b/>
          <w:sz w:val="28"/>
          <w:szCs w:val="28"/>
        </w:rPr>
        <w:t>重庆成瑞光电科技有限公司</w:t>
      </w:r>
    </w:p>
    <w:p>
      <w:pPr>
        <w:snapToGrid w:val="0"/>
        <w:spacing w:afterLines="30"/>
        <w:rPr>
          <w:rFonts w:ascii="楷体" w:hAnsi="楷体" w:eastAsia="楷体"/>
          <w:b/>
          <w:color w:val="000000"/>
          <w:sz w:val="32"/>
          <w:szCs w:val="32"/>
        </w:rPr>
      </w:pPr>
    </w:p>
    <w:p>
      <w:pPr>
        <w:snapToGrid w:val="0"/>
        <w:spacing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第1次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hint="eastAsia" w:eastAsia="楷体_GB2312"/>
          <w:sz w:val="32"/>
        </w:rPr>
      </w:pPr>
    </w:p>
    <w:p>
      <w:pPr>
        <w:snapToGrid w:val="0"/>
        <w:spacing w:line="480" w:lineRule="auto"/>
        <w:ind w:left="850"/>
        <w:rPr>
          <w:rFonts w:hint="eastAsia" w:eastAsia="楷体_GB2312"/>
          <w:sz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2018-N1OHSMS-1230067</w:t>
            </w:r>
          </w:p>
        </w:tc>
        <w:tc>
          <w:tcPr>
            <w:tcW w:w="1728" w:type="dxa"/>
            <w:gridSpan w:val="2"/>
            <w:vAlign w:val="center"/>
          </w:tcPr>
          <w:p>
            <w:pPr>
              <w:jc w:val="center"/>
              <w:rPr>
                <w:b/>
                <w:sz w:val="21"/>
                <w:szCs w:val="21"/>
              </w:rPr>
            </w:pPr>
            <w:r>
              <w:rPr>
                <w:b/>
                <w:sz w:val="21"/>
                <w:szCs w:val="21"/>
              </w:rPr>
              <w:t>19.01.01,19.11.01</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2019-N1OHSMS-2093566</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■保持认证注册资格：__监督1____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r>
        <w:rPr>
          <w:rFonts w:hint="eastAsia"/>
          <w:b/>
          <w:sz w:val="21"/>
          <w:szCs w:val="21"/>
        </w:rPr>
        <w:t>□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sz w:val="21"/>
              </w:rPr>
            </w:pPr>
            <w:bookmarkStart w:id="9" w:name="组织名称Add"/>
            <w:r>
              <w:rPr>
                <w:rFonts w:ascii="宋体"/>
                <w:sz w:val="21"/>
              </w:rPr>
              <w:t>重庆成瑞光电科技有限公司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r>
              <w:rPr>
                <w:rFonts w:hint="eastAsia" w:ascii="宋体"/>
                <w:b/>
                <w:sz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重庆市合川工业园区草街拓展区金凤环路</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401572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重庆市合川工业园区草街拓展区金凤环路</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401572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重庆市合川工业园区草街拓展区金凤环路</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401572</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黄於</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023-42466006</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刘程渝</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ascii="宋体"/>
                <w:b/>
                <w:sz w:val="21"/>
              </w:rPr>
              <w:t>罗鸣策</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2019年11月29日 上午至2019年11月29日 下午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b/>
                <w:sz w:val="21"/>
                <w:szCs w:val="21"/>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bookmarkStart w:id="23" w:name="QJ勾选Add1"/>
            <w:r>
              <w:rPr>
                <w:rFonts w:hint="eastAsia" w:ascii="宋体" w:hAnsi="宋体"/>
                <w:b/>
                <w:sz w:val="21"/>
                <w:szCs w:val="21"/>
              </w:rPr>
              <w:t>□</w:t>
            </w:r>
            <w:bookmarkEnd w:id="23"/>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4" w:name="E勾选Add1"/>
            <w:r>
              <w:rPr>
                <w:rFonts w:hint="eastAsia" w:ascii="宋体" w:hAnsi="宋体"/>
                <w:b/>
                <w:sz w:val="21"/>
                <w:szCs w:val="21"/>
              </w:rPr>
              <w:t>□</w:t>
            </w:r>
            <w:bookmarkEnd w:id="24"/>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5" w:name="S勾选Add2"/>
            <w:r>
              <w:rPr>
                <w:rFonts w:hint="eastAsia" w:ascii="宋体" w:hAnsi="宋体"/>
                <w:b/>
                <w:sz w:val="21"/>
                <w:szCs w:val="21"/>
              </w:rPr>
              <w:t>■</w:t>
            </w:r>
            <w:bookmarkEnd w:id="25"/>
            <w:r>
              <w:rPr>
                <w:rFonts w:ascii="宋体" w:hAnsi="宋体"/>
                <w:b/>
                <w:sz w:val="21"/>
                <w:szCs w:val="21"/>
              </w:rPr>
              <w:t>OHSMS</w:t>
            </w:r>
            <w:r>
              <w:rPr>
                <w:rFonts w:hint="eastAsia" w:ascii="宋体" w:hAnsi="宋体"/>
                <w:b/>
                <w:sz w:val="21"/>
                <w:szCs w:val="21"/>
              </w:rPr>
              <w:t>：</w:t>
            </w:r>
            <w:r>
              <w:rPr>
                <w:rFonts w:hint="eastAsia" w:ascii="宋体" w:hAnsi="宋体"/>
              </w:rPr>
              <w:t>室外光缆、室内光缆（自承式光缆、蝶形光缆，预制成端蝶形引入光缆）、光分路器、光纤活动连接器、光模块、光波分复用器的生产及相关服务所涉及的职业健康安全管理活动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19.01.01;19.11.01</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2021.11.26</w:t>
            </w:r>
            <w:bookmarkStart w:id="29" w:name="_GoBack"/>
            <w:bookmarkEnd w:id="29"/>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b/>
                <w:sz w:val="21"/>
              </w:rPr>
              <w:t>2018年11月11-12日</w:t>
            </w:r>
          </w:p>
        </w:tc>
      </w:tr>
    </w:tbl>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29" w:firstLineChars="100"/>
        <w:rPr>
          <w:b/>
          <w:spacing w:val="-6"/>
          <w:szCs w:val="21"/>
        </w:rPr>
      </w:pPr>
      <w:r>
        <w:rPr>
          <w:b/>
          <w:spacing w:val="-6"/>
          <w:szCs w:val="21"/>
        </w:rPr>
        <w:t xml:space="preserve">1. </w:t>
      </w:r>
      <w:r>
        <w:rPr>
          <w:rFonts w:hint="eastAsia"/>
          <w:b/>
          <w:spacing w:val="-6"/>
          <w:szCs w:val="21"/>
        </w:rPr>
        <w:t>本次审核活动按相关审核计划执行（见附件</w:t>
      </w:r>
      <w:r>
        <w:rPr>
          <w:b/>
          <w:spacing w:val="-6"/>
          <w:szCs w:val="21"/>
        </w:rPr>
        <w:t>1</w:t>
      </w:r>
      <w:r>
        <w:rPr>
          <w:rFonts w:hint="eastAsia"/>
          <w:b/>
          <w:spacing w:val="-6"/>
          <w:szCs w:val="21"/>
        </w:rPr>
        <w:t>）</w:t>
      </w:r>
    </w:p>
    <w:p>
      <w:pPr>
        <w:spacing w:beforeLines="50"/>
        <w:ind w:left="-194" w:leftChars="-81" w:firstLine="229" w:firstLineChars="100"/>
        <w:rPr>
          <w:b/>
          <w:spacing w:val="-6"/>
          <w:szCs w:val="21"/>
        </w:rPr>
      </w:pPr>
      <w:r>
        <w:rPr>
          <w:b/>
          <w:spacing w:val="-6"/>
          <w:szCs w:val="21"/>
        </w:rPr>
        <w:t xml:space="preserve">2. </w:t>
      </w:r>
      <w:r>
        <w:rPr>
          <w:rFonts w:hint="eastAsia"/>
          <w:b/>
          <w:spacing w:val="-6"/>
          <w:szCs w:val="21"/>
        </w:rPr>
        <w:t>已审核的分场所（分中心、分部或不在一起的部门）、临时</w:t>
      </w:r>
      <w:r>
        <w:rPr>
          <w:b/>
          <w:spacing w:val="-6"/>
          <w:szCs w:val="21"/>
        </w:rPr>
        <w:t>/</w:t>
      </w:r>
      <w:r>
        <w:rPr>
          <w:rFonts w:hint="eastAsia"/>
          <w:b/>
          <w:spacing w:val="-6"/>
          <w:szCs w:val="21"/>
        </w:rPr>
        <w:t>流动场所信息</w:t>
      </w:r>
    </w:p>
    <w:p>
      <w:pPr>
        <w:spacing w:beforeLines="50"/>
        <w:ind w:left="-194" w:leftChars="-81" w:firstLine="229" w:firstLineChars="100"/>
        <w:rPr>
          <w:rFonts w:hAnsi="宋体"/>
          <w:b/>
          <w:spacing w:val="-6"/>
          <w:szCs w:val="21"/>
        </w:rPr>
      </w:pPr>
      <w:r>
        <w:rPr>
          <w:b/>
          <w:spacing w:val="-6"/>
          <w:szCs w:val="21"/>
        </w:rPr>
        <w:t xml:space="preserve">3. </w:t>
      </w:r>
      <w:r>
        <w:rPr>
          <w:rFonts w:hint="eastAsia" w:hAnsi="宋体"/>
          <w:b/>
          <w:spacing w:val="-6"/>
          <w:szCs w:val="21"/>
        </w:rPr>
        <w:t>已审核具体的产品</w:t>
      </w:r>
      <w:r>
        <w:rPr>
          <w:b/>
          <w:spacing w:val="-6"/>
          <w:szCs w:val="21"/>
        </w:rPr>
        <w:t>/</w:t>
      </w:r>
      <w:r>
        <w:rPr>
          <w:rFonts w:hint="eastAsia" w:hAnsi="宋体"/>
          <w:b/>
          <w:spacing w:val="-6"/>
          <w:szCs w:val="21"/>
        </w:rPr>
        <w:t>服务</w:t>
      </w:r>
      <w:r>
        <w:rPr>
          <w:b/>
          <w:spacing w:val="-6"/>
          <w:szCs w:val="21"/>
        </w:rPr>
        <w:t>/</w:t>
      </w:r>
      <w:r>
        <w:rPr>
          <w:rFonts w:hint="eastAsia" w:hAnsi="宋体"/>
          <w:b/>
          <w:spacing w:val="-6"/>
          <w:szCs w:val="21"/>
        </w:rPr>
        <w:t>型号</w:t>
      </w:r>
      <w:r>
        <w:rPr>
          <w:b/>
          <w:spacing w:val="-6"/>
          <w:szCs w:val="21"/>
        </w:rPr>
        <w:t>/</w:t>
      </w:r>
      <w:r>
        <w:rPr>
          <w:rFonts w:hint="eastAsia" w:hAnsi="宋体"/>
          <w:b/>
          <w:spacing w:val="-6"/>
          <w:szCs w:val="21"/>
        </w:rPr>
        <w:t>类型</w:t>
      </w:r>
      <w:r>
        <w:rPr>
          <w:b/>
          <w:spacing w:val="-6"/>
          <w:szCs w:val="21"/>
        </w:rPr>
        <w:t>/</w:t>
      </w:r>
      <w:r>
        <w:rPr>
          <w:rFonts w:hint="eastAsia" w:hAnsi="宋体"/>
          <w:b/>
          <w:spacing w:val="-6"/>
          <w:szCs w:val="21"/>
        </w:rPr>
        <w:t>系列和过程（设计</w:t>
      </w:r>
      <w:r>
        <w:rPr>
          <w:b/>
          <w:spacing w:val="-6"/>
          <w:szCs w:val="21"/>
        </w:rPr>
        <w:t>/</w:t>
      </w:r>
      <w:r>
        <w:rPr>
          <w:rFonts w:hint="eastAsia" w:hAnsi="宋体"/>
          <w:b/>
          <w:spacing w:val="-6"/>
          <w:szCs w:val="21"/>
        </w:rPr>
        <w:t>生产</w:t>
      </w:r>
      <w:r>
        <w:rPr>
          <w:rFonts w:hint="eastAsia"/>
          <w:b/>
          <w:spacing w:val="-6"/>
          <w:szCs w:val="21"/>
        </w:rPr>
        <w:t>┄┄）</w:t>
      </w:r>
      <w:r>
        <w:rPr>
          <w:rFonts w:hint="eastAsia" w:hAnsi="宋体"/>
          <w:b/>
          <w:spacing w:val="-6"/>
          <w:szCs w:val="21"/>
        </w:rPr>
        <w:t>是</w:t>
      </w:r>
    </w:p>
    <w:p>
      <w:pPr>
        <w:spacing w:line="360" w:lineRule="atLeast"/>
        <w:ind w:firstLine="221" w:firstLineChars="100"/>
        <w:rPr>
          <w:b/>
          <w:sz w:val="21"/>
          <w:u w:val="single"/>
        </w:rPr>
      </w:pPr>
      <w:r>
        <w:rPr>
          <w:rFonts w:hint="eastAsia"/>
          <w:b/>
          <w:spacing w:val="-10"/>
          <w:szCs w:val="21"/>
        </w:rPr>
        <w:t>□</w:t>
      </w:r>
      <w:r>
        <w:rPr>
          <w:rFonts w:hint="eastAsia" w:ascii="宋体" w:hAnsi="宋体"/>
          <w:b/>
          <w:szCs w:val="21"/>
        </w:rPr>
        <w:t>本次审核新增加范围的产品</w:t>
      </w:r>
      <w:r>
        <w:rPr>
          <w:rFonts w:ascii="宋体" w:hAnsi="宋体"/>
          <w:b/>
          <w:szCs w:val="21"/>
        </w:rPr>
        <w:t>/</w:t>
      </w:r>
      <w:r>
        <w:rPr>
          <w:rFonts w:hint="eastAsia" w:ascii="宋体" w:hAnsi="宋体"/>
          <w:b/>
          <w:szCs w:val="21"/>
        </w:rPr>
        <w:t>服务抽查</w:t>
      </w:r>
    </w:p>
    <w:p>
      <w:pPr>
        <w:spacing w:line="360" w:lineRule="atLeast"/>
        <w:ind w:firstLine="241" w:firstLineChars="100"/>
        <w:rPr>
          <w:rFonts w:ascii="宋体"/>
          <w:b/>
          <w:szCs w:val="21"/>
        </w:rPr>
      </w:pPr>
      <w:r>
        <w:rPr>
          <w:rFonts w:ascii="宋体" w:hAnsi="宋体"/>
          <w:b/>
          <w:szCs w:val="21"/>
        </w:rPr>
        <w:t xml:space="preserve">4. </w:t>
      </w:r>
      <w:r>
        <w:rPr>
          <w:rFonts w:hint="eastAsia" w:ascii="宋体" w:hAnsi="宋体"/>
          <w:b/>
          <w:szCs w:val="21"/>
        </w:rPr>
        <w:t>本次审核覆盖时间：从上次审核结束日的2018年11月12日至2019年11月29日</w:t>
      </w:r>
    </w:p>
    <w:p>
      <w:pPr>
        <w:spacing w:line="360" w:lineRule="auto"/>
        <w:ind w:left="-211" w:leftChars="-88" w:firstLine="442" w:firstLineChars="200"/>
        <w:rPr>
          <w:b/>
          <w:spacing w:val="-10"/>
          <w:szCs w:val="21"/>
        </w:rPr>
      </w:pPr>
      <w:r>
        <w:rPr>
          <w:b/>
          <w:spacing w:val="-10"/>
          <w:szCs w:val="21"/>
        </w:rPr>
        <w:t xml:space="preserve">5. </w:t>
      </w:r>
      <w:r>
        <w:rPr>
          <w:rFonts w:hint="eastAsia"/>
          <w:b/>
          <w:spacing w:val="-10"/>
          <w:szCs w:val="21"/>
        </w:rPr>
        <w:t>完成情况说明</w:t>
      </w:r>
      <w:r>
        <w:rPr>
          <w:b/>
          <w:spacing w:val="-10"/>
          <w:szCs w:val="21"/>
        </w:rPr>
        <w:t>:</w:t>
      </w:r>
    </w:p>
    <w:p>
      <w:pPr>
        <w:spacing w:line="360" w:lineRule="auto"/>
        <w:ind w:left="-211" w:leftChars="-88" w:firstLine="493" w:firstLineChars="223"/>
        <w:rPr>
          <w:b/>
          <w:spacing w:val="-10"/>
          <w:szCs w:val="21"/>
        </w:rPr>
      </w:pPr>
      <w:r>
        <w:rPr>
          <w:rFonts w:hint="eastAsia"/>
          <w:b/>
          <w:spacing w:val="-10"/>
          <w:szCs w:val="21"/>
        </w:rPr>
        <w:t>■</w:t>
      </w:r>
      <w:r>
        <w:rPr>
          <w:rFonts w:hint="eastAsia" w:ascii="宋体" w:hAnsi="宋体"/>
          <w:b/>
          <w:szCs w:val="21"/>
        </w:rPr>
        <w:t>已完成审核计划的全部工作</w:t>
      </w:r>
    </w:p>
    <w:p>
      <w:pPr>
        <w:spacing w:line="360" w:lineRule="auto"/>
        <w:ind w:left="-211" w:leftChars="-88" w:firstLine="493" w:firstLineChars="223"/>
        <w:rPr>
          <w:b/>
          <w:spacing w:val="-10"/>
          <w:w w:val="90"/>
          <w:szCs w:val="21"/>
        </w:rPr>
      </w:pPr>
      <w:r>
        <w:rPr>
          <w:rFonts w:hint="eastAsia"/>
          <w:b/>
          <w:spacing w:val="-10"/>
          <w:szCs w:val="21"/>
        </w:rPr>
        <w:t>□</w:t>
      </w:r>
      <w:r>
        <w:rPr>
          <w:rFonts w:hint="eastAsia" w:ascii="宋体" w:hAnsi="宋体"/>
          <w:b/>
          <w:szCs w:val="21"/>
        </w:rPr>
        <w:t>计划有修改，但不会影响审核结论，修改的内容和原因是</w:t>
      </w:r>
    </w:p>
    <w:p>
      <w:pPr>
        <w:spacing w:line="360" w:lineRule="auto"/>
        <w:ind w:left="-211" w:leftChars="-88" w:firstLine="493" w:firstLineChars="223"/>
        <w:rPr>
          <w:b/>
          <w:spacing w:val="-10"/>
          <w:szCs w:val="21"/>
        </w:rPr>
      </w:pPr>
      <w:r>
        <w:rPr>
          <w:rFonts w:hint="eastAsia"/>
          <w:b/>
          <w:spacing w:val="-10"/>
          <w:szCs w:val="21"/>
        </w:rPr>
        <w:t>□</w:t>
      </w:r>
      <w:r>
        <w:rPr>
          <w:rFonts w:hint="eastAsia" w:ascii="宋体" w:hAnsi="宋体"/>
          <w:b/>
          <w:szCs w:val="21"/>
        </w:rPr>
        <w:t>未完成计划，未完成的内容和原因是</w:t>
      </w:r>
      <w:r>
        <w:rPr>
          <w:rFonts w:ascii="宋体" w:hAnsi="宋体"/>
          <w:b/>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0" w:lineRule="atLeast"/>
              <w:jc w:val="left"/>
              <w:rPr>
                <w:rFonts w:ascii="宋体" w:hAnsi="宋体"/>
                <w:szCs w:val="21"/>
              </w:rPr>
            </w:pPr>
            <w:r>
              <w:rPr>
                <w:b/>
                <w:color w:val="000000"/>
                <w:sz w:val="20"/>
              </w:rPr>
              <w:t>1</w:t>
            </w:r>
            <w:r>
              <w:rPr>
                <w:rFonts w:hint="eastAsia"/>
                <w:b/>
                <w:color w:val="000000"/>
                <w:sz w:val="20"/>
              </w:rPr>
              <w:t>.组织及其环境的识别情况：</w:t>
            </w:r>
          </w:p>
          <w:p>
            <w:pPr>
              <w:spacing w:line="0" w:lineRule="atLeast"/>
              <w:ind w:firstLine="420" w:firstLineChars="200"/>
              <w:jc w:val="left"/>
              <w:rPr>
                <w:b/>
                <w:color w:val="000000"/>
                <w:sz w:val="21"/>
                <w:szCs w:val="21"/>
              </w:rPr>
            </w:pPr>
            <w:bookmarkStart w:id="27" w:name="组织名称"/>
            <w:r>
              <w:rPr>
                <w:rFonts w:ascii="宋体" w:hAnsi="宋体"/>
                <w:sz w:val="21"/>
                <w:szCs w:val="21"/>
              </w:rPr>
              <w:t>重庆成瑞光电科技有限公司</w:t>
            </w:r>
            <w:bookmarkEnd w:id="27"/>
            <w:r>
              <w:rPr>
                <w:rFonts w:hint="eastAsia" w:ascii="宋体" w:hAnsi="宋体"/>
                <w:sz w:val="21"/>
                <w:szCs w:val="21"/>
              </w:rPr>
              <w:t>成立于2012年8月23日，坐落于</w:t>
            </w:r>
            <w:bookmarkStart w:id="28" w:name="生产地址"/>
            <w:r>
              <w:rPr>
                <w:rFonts w:ascii="宋体" w:hAnsi="宋体"/>
                <w:sz w:val="21"/>
                <w:szCs w:val="21"/>
              </w:rPr>
              <w:t>重庆市合川工业园区草街拓展区金凤环路</w:t>
            </w:r>
            <w:bookmarkEnd w:id="28"/>
            <w:r>
              <w:rPr>
                <w:rFonts w:hint="eastAsia" w:ascii="宋体" w:hAnsi="宋体"/>
                <w:sz w:val="21"/>
                <w:szCs w:val="21"/>
              </w:rPr>
              <w:t>，公司主要经营范围是光纤类通信终端产品。经营状况良好。组织对内外部因素、相关方需求和期望进行了充分的识别，策划和实施有效。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b/>
                <w:color w:val="000000"/>
                <w:sz w:val="20"/>
              </w:rPr>
            </w:pPr>
            <w:r>
              <w:rPr>
                <w:rFonts w:hint="eastAsia"/>
                <w:b/>
                <w:color w:val="000000"/>
                <w:sz w:val="20"/>
              </w:rPr>
              <w:t>2.相关方需求和期望识别情况：</w:t>
            </w:r>
          </w:p>
          <w:p>
            <w:pPr>
              <w:spacing w:line="360" w:lineRule="auto"/>
              <w:ind w:firstLine="420" w:firstLineChars="200"/>
              <w:rPr>
                <w:b/>
                <w:color w:val="000000"/>
                <w:sz w:val="20"/>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360" w:lineRule="auto"/>
              <w:rPr>
                <w:b/>
                <w:sz w:val="20"/>
              </w:rPr>
            </w:pPr>
            <w:r>
              <w:rPr>
                <w:rFonts w:hint="eastAsia"/>
                <w:b/>
                <w:spacing w:val="-10"/>
                <w:szCs w:val="21"/>
              </w:rPr>
              <w:t>3.□</w:t>
            </w:r>
            <w:r>
              <w:rPr>
                <w:rFonts w:hint="eastAsia" w:ascii="宋体" w:hAnsi="宋体"/>
                <w:b/>
                <w:szCs w:val="21"/>
              </w:rPr>
              <w:t>质量</w:t>
            </w:r>
            <w:r>
              <w:rPr>
                <w:rFonts w:ascii="宋体" w:hAnsi="宋体"/>
                <w:b/>
                <w:szCs w:val="21"/>
              </w:rPr>
              <w:t>/</w:t>
            </w:r>
            <w:r>
              <w:rPr>
                <w:rFonts w:hint="eastAsia"/>
                <w:b/>
                <w:spacing w:val="-10"/>
                <w:szCs w:val="21"/>
              </w:rPr>
              <w:t>□</w:t>
            </w:r>
            <w:r>
              <w:rPr>
                <w:rFonts w:hint="eastAsia" w:ascii="宋体" w:hAnsi="宋体"/>
                <w:b/>
                <w:szCs w:val="21"/>
              </w:rPr>
              <w:t>环境</w:t>
            </w:r>
            <w:r>
              <w:rPr>
                <w:rFonts w:ascii="宋体" w:hAnsi="宋体"/>
                <w:b/>
                <w:szCs w:val="21"/>
              </w:rPr>
              <w:t>/</w:t>
            </w:r>
            <w:r>
              <w:rPr>
                <w:rFonts w:hint="eastAsia" w:ascii="宋体" w:hAnsi="宋体"/>
                <w:b/>
                <w:szCs w:val="21"/>
              </w:rPr>
              <w:t>■职业健康安全方针（组织</w:t>
            </w:r>
            <w:r>
              <w:rPr>
                <w:rFonts w:hint="eastAsia"/>
                <w:b/>
                <w:szCs w:val="21"/>
              </w:rPr>
              <w:t>方针</w:t>
            </w:r>
            <w:r>
              <w:rPr>
                <w:rFonts w:hint="eastAsia" w:ascii="宋体" w:hAnsi="宋体"/>
                <w:b/>
                <w:szCs w:val="21"/>
              </w:rPr>
              <w:t>的适宜性</w:t>
            </w:r>
            <w:r>
              <w:rPr>
                <w:rFonts w:ascii="宋体" w:hAnsi="宋体"/>
                <w:b/>
                <w:szCs w:val="21"/>
              </w:rPr>
              <w:t>/</w:t>
            </w:r>
            <w:r>
              <w:rPr>
                <w:rFonts w:hint="eastAsia" w:ascii="宋体" w:hAnsi="宋体"/>
                <w:b/>
                <w:szCs w:val="21"/>
              </w:rPr>
              <w:t>持续适宜性、方针的传达及职工的理解等）组织的方针为：</w:t>
            </w:r>
          </w:p>
          <w:p>
            <w:pPr>
              <w:spacing w:line="400" w:lineRule="exact"/>
              <w:ind w:firstLine="420" w:firstLineChars="200"/>
              <w:rPr>
                <w:rFonts w:ascii="宋体" w:hAnsi="宋体" w:cs="宋体"/>
                <w:bCs/>
                <w:sz w:val="21"/>
                <w:szCs w:val="21"/>
              </w:rPr>
            </w:pPr>
            <w:r>
              <w:rPr>
                <w:rFonts w:hint="eastAsia" w:ascii="宋体" w:hAnsi="宋体" w:cs="宋体"/>
                <w:color w:val="000000"/>
                <w:sz w:val="21"/>
                <w:szCs w:val="21"/>
              </w:rPr>
              <w:t>“</w:t>
            </w:r>
            <w:r>
              <w:rPr>
                <w:rFonts w:hint="eastAsia" w:ascii="宋体" w:hAnsi="宋体" w:cs="宋体"/>
                <w:color w:val="000000"/>
                <w:szCs w:val="21"/>
              </w:rPr>
              <w:t>遵守法规，预防污染，建设绿色工厂；安全第一，持续改进，保障员工健康</w:t>
            </w:r>
            <w:r>
              <w:rPr>
                <w:rFonts w:hint="eastAsia" w:ascii="宋体" w:hAnsi="宋体" w:cs="宋体"/>
                <w:bCs/>
                <w:sz w:val="21"/>
                <w:szCs w:val="21"/>
              </w:rPr>
              <w:t>”。</w:t>
            </w:r>
          </w:p>
          <w:p>
            <w:pPr>
              <w:ind w:firstLine="210" w:firstLineChars="100"/>
              <w:rPr>
                <w:b/>
                <w:sz w:val="20"/>
              </w:rPr>
            </w:pPr>
            <w:r>
              <w:rPr>
                <w:rFonts w:hint="eastAsia" w:ascii="宋体" w:hAnsi="宋体" w:cs="宋体"/>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b/>
                <w:color w:val="000000"/>
              </w:rPr>
            </w:pPr>
            <w:r>
              <w:rPr>
                <w:rFonts w:hint="eastAsia"/>
                <w:b/>
                <w:color w:val="000000"/>
              </w:rPr>
              <w:t>4.风险识别与控制策划：</w:t>
            </w:r>
          </w:p>
          <w:p>
            <w:pPr>
              <w:spacing w:line="280" w:lineRule="exact"/>
              <w:ind w:firstLine="420" w:firstLineChars="200"/>
              <w:rPr>
                <w:b/>
                <w:color w:val="000000"/>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Cs w:val="21"/>
              </w:rPr>
            </w:pPr>
            <w:r>
              <w:rPr>
                <w:b/>
                <w:szCs w:val="21"/>
              </w:rPr>
              <w:t>5</w:t>
            </w:r>
            <w:r>
              <w:rPr>
                <w:rFonts w:hint="eastAsia"/>
                <w:b/>
                <w:szCs w:val="21"/>
              </w:rPr>
              <w:t>.</w:t>
            </w:r>
            <w:r>
              <w:rPr>
                <w:b/>
                <w:szCs w:val="21"/>
              </w:rPr>
              <w:t>QMS</w:t>
            </w:r>
            <w:r>
              <w:rPr>
                <w:rFonts w:hint="eastAsia" w:ascii="宋体" w:hAnsi="宋体"/>
                <w:b/>
                <w:szCs w:val="21"/>
              </w:rPr>
              <w:t>过程</w:t>
            </w:r>
          </w:p>
          <w:p>
            <w:pPr>
              <w:widowControl/>
              <w:spacing w:line="400" w:lineRule="exact"/>
              <w:rPr>
                <w:rFonts w:ascii="宋体" w:hAnsi="宋体"/>
                <w:b/>
                <w:szCs w:val="21"/>
              </w:rPr>
            </w:pPr>
            <w:r>
              <w:rPr>
                <w:rFonts w:hint="eastAsia" w:ascii="宋体" w:hAnsi="宋体"/>
                <w:b/>
                <w:szCs w:val="21"/>
              </w:rPr>
              <w:t>质量管理体系过程有：</w:t>
            </w:r>
          </w:p>
          <w:p>
            <w:pPr>
              <w:tabs>
                <w:tab w:val="left" w:pos="540"/>
              </w:tabs>
              <w:spacing w:line="300" w:lineRule="exact"/>
              <w:ind w:left="241" w:hanging="241" w:hangingChars="100"/>
              <w:rPr>
                <w:rFonts w:ascii="宋体"/>
                <w:b/>
                <w:szCs w:val="21"/>
                <w:u w:val="single"/>
              </w:rPr>
            </w:pPr>
            <w:r>
              <w:rPr>
                <w:rFonts w:hint="eastAsia" w:ascii="宋体" w:hAnsi="宋体"/>
                <w:b/>
                <w:szCs w:val="21"/>
              </w:rPr>
              <w:t>其中关键过程有</w:t>
            </w:r>
          </w:p>
          <w:p>
            <w:pPr>
              <w:tabs>
                <w:tab w:val="left" w:pos="540"/>
              </w:tabs>
              <w:spacing w:line="300" w:lineRule="exact"/>
              <w:ind w:left="241" w:hanging="241" w:hangingChars="100"/>
              <w:rPr>
                <w:rFonts w:ascii="宋体"/>
                <w:b/>
                <w:szCs w:val="21"/>
                <w:u w:val="single"/>
              </w:rPr>
            </w:pPr>
            <w:r>
              <w:rPr>
                <w:rFonts w:hint="eastAsia" w:ascii="宋体" w:hAnsi="宋体"/>
                <w:b/>
                <w:szCs w:val="21"/>
              </w:rPr>
              <w:t>需要确认过程</w:t>
            </w:r>
          </w:p>
          <w:p>
            <w:pPr>
              <w:tabs>
                <w:tab w:val="left" w:pos="540"/>
              </w:tabs>
              <w:spacing w:line="300" w:lineRule="exact"/>
              <w:ind w:left="240" w:hanging="240" w:hangingChars="100"/>
              <w:rPr>
                <w:rFonts w:ascii="宋体"/>
                <w:b/>
                <w:szCs w:val="21"/>
              </w:rPr>
            </w:pPr>
            <w:r>
              <w:pict>
                <v:shape id="_x0000_s1030" o:spid="_x0000_s1030"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pict>
                <v:shape id="_x0000_s1031" o:spid="_x0000_s1031"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删减条款是，删减理由：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pacing w:val="-12"/>
                <w:szCs w:val="21"/>
              </w:rPr>
            </w:pPr>
            <w:r>
              <w:rPr>
                <w:b/>
                <w:szCs w:val="21"/>
              </w:rPr>
              <w:t xml:space="preserve">6. </w:t>
            </w:r>
            <w:r>
              <w:rPr>
                <w:rFonts w:hint="eastAsia"/>
                <w:b/>
                <w:spacing w:val="-10"/>
                <w:szCs w:val="21"/>
              </w:rPr>
              <w:t>□</w:t>
            </w:r>
            <w:r>
              <w:rPr>
                <w:b/>
                <w:spacing w:val="-12"/>
                <w:szCs w:val="21"/>
              </w:rPr>
              <w:t>EMS</w:t>
            </w:r>
            <w:r>
              <w:rPr>
                <w:rFonts w:hint="eastAsia" w:ascii="宋体" w:hAnsi="宋体"/>
                <w:b/>
                <w:spacing w:val="-12"/>
                <w:szCs w:val="21"/>
              </w:rPr>
              <w:t>环境因素</w:t>
            </w:r>
          </w:p>
          <w:p>
            <w:pPr>
              <w:spacing w:line="300" w:lineRule="exact"/>
              <w:rPr>
                <w:rFonts w:ascii="宋体"/>
                <w:b/>
                <w:color w:val="000000"/>
                <w:spacing w:val="-8"/>
                <w:sz w:val="20"/>
              </w:rPr>
            </w:pPr>
            <w:r>
              <w:rPr>
                <w:rFonts w:hint="eastAsia" w:ascii="宋体" w:hAnsi="宋体"/>
                <w:b/>
                <w:color w:val="000000"/>
                <w:sz w:val="20"/>
              </w:rPr>
              <w:t>（</w:t>
            </w:r>
            <w:r>
              <w:rPr>
                <w:rFonts w:hint="eastAsia" w:ascii="宋体" w:hAnsi="宋体"/>
                <w:b/>
                <w:color w:val="000000"/>
                <w:spacing w:val="-8"/>
                <w:sz w:val="20"/>
              </w:rPr>
              <w:t>环境因素</w:t>
            </w:r>
            <w:r>
              <w:rPr>
                <w:rFonts w:hint="eastAsia" w:ascii="宋体" w:hAnsi="宋体"/>
                <w:b/>
                <w:color w:val="000000"/>
                <w:sz w:val="20"/>
              </w:rPr>
              <w:t>辨识是否充分、重要环境因素评价合理性，</w:t>
            </w:r>
            <w:r>
              <w:rPr>
                <w:rFonts w:hint="eastAsia" w:ascii="宋体" w:hAnsi="宋体"/>
                <w:b/>
                <w:color w:val="000000"/>
                <w:spacing w:val="-8"/>
                <w:sz w:val="20"/>
              </w:rPr>
              <w:t>以及环境因素动态变更的及时性等）</w:t>
            </w:r>
          </w:p>
          <w:p>
            <w:pPr>
              <w:spacing w:line="240" w:lineRule="exact"/>
              <w:rPr>
                <w:b/>
              </w:rPr>
            </w:pPr>
            <w:r>
              <w:rPr>
                <w:rFonts w:hint="eastAsia" w:asciiTheme="minorEastAsia" w:hAnsiTheme="minorEastAsia" w:eastAsiaTheme="minorEastAsia"/>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pacing w:val="-12"/>
                <w:szCs w:val="21"/>
              </w:rPr>
            </w:pPr>
            <w:r>
              <w:rPr>
                <w:b/>
                <w:spacing w:val="-10"/>
                <w:szCs w:val="21"/>
              </w:rPr>
              <w:t xml:space="preserve">7. </w:t>
            </w:r>
            <w:r>
              <w:rPr>
                <w:rFonts w:hint="eastAsia"/>
                <w:b/>
                <w:spacing w:val="-10"/>
                <w:szCs w:val="21"/>
              </w:rPr>
              <w:t>■</w:t>
            </w:r>
            <w:r>
              <w:rPr>
                <w:b/>
                <w:spacing w:val="-12"/>
                <w:szCs w:val="21"/>
              </w:rPr>
              <w:t>OHSMS</w:t>
            </w:r>
            <w:r>
              <w:rPr>
                <w:rFonts w:hint="eastAsia" w:ascii="宋体" w:hAnsi="宋体"/>
                <w:b/>
                <w:spacing w:val="-12"/>
                <w:szCs w:val="21"/>
              </w:rPr>
              <w:t>职业健康安全危险源</w:t>
            </w:r>
          </w:p>
          <w:p>
            <w:pPr>
              <w:spacing w:line="240" w:lineRule="exact"/>
              <w:rPr>
                <w:rFonts w:ascii="宋体" w:hAnsi="宋体"/>
                <w:b/>
                <w:color w:val="000000"/>
                <w:spacing w:val="-8"/>
                <w:sz w:val="20"/>
              </w:rPr>
            </w:pPr>
            <w:r>
              <w:rPr>
                <w:rFonts w:hint="eastAsia" w:ascii="宋体" w:hAnsi="宋体"/>
                <w:b/>
                <w:color w:val="000000"/>
                <w:sz w:val="20"/>
              </w:rPr>
              <w:t>（</w:t>
            </w:r>
            <w:r>
              <w:rPr>
                <w:rFonts w:hint="eastAsia" w:ascii="宋体" w:hAnsi="宋体"/>
                <w:b/>
                <w:color w:val="000000"/>
                <w:spacing w:val="-8"/>
                <w:sz w:val="20"/>
              </w:rPr>
              <w:t>职业健康安全危险源</w:t>
            </w:r>
            <w:r>
              <w:rPr>
                <w:rFonts w:hint="eastAsia" w:ascii="宋体" w:hAnsi="宋体"/>
                <w:b/>
                <w:color w:val="000000"/>
                <w:sz w:val="20"/>
              </w:rPr>
              <w:t>辨识是否充分、风险评价合理性，</w:t>
            </w:r>
            <w:r>
              <w:rPr>
                <w:rFonts w:hint="eastAsia" w:ascii="宋体" w:hAnsi="宋体"/>
                <w:b/>
                <w:color w:val="000000"/>
                <w:spacing w:val="-8"/>
                <w:sz w:val="20"/>
              </w:rPr>
              <w:t>以及风险评价动态变更的及时性等）</w:t>
            </w:r>
          </w:p>
          <w:p>
            <w:pPr>
              <w:spacing w:line="240" w:lineRule="exact"/>
              <w:rPr>
                <w:rFonts w:ascii="宋体" w:hAnsi="宋体"/>
                <w:b/>
                <w:color w:val="000000"/>
                <w:spacing w:val="-8"/>
                <w:sz w:val="20"/>
              </w:rPr>
            </w:pPr>
            <w:r>
              <w:rPr>
                <w:rFonts w:hint="eastAsia" w:ascii="宋体" w:hAnsi="宋体"/>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b/>
                <w:spacing w:val="-4"/>
                <w:szCs w:val="21"/>
              </w:rPr>
            </w:pPr>
            <w:r>
              <w:rPr>
                <w:b/>
                <w:szCs w:val="21"/>
              </w:rPr>
              <w:t xml:space="preserve">8. </w:t>
            </w:r>
            <w:r>
              <w:rPr>
                <w:rFonts w:hint="eastAsia" w:ascii="宋体" w:hAnsi="宋体"/>
                <w:b/>
                <w:spacing w:val="-4"/>
                <w:szCs w:val="21"/>
              </w:rPr>
              <w:t>法律法规及其他要求</w:t>
            </w:r>
          </w:p>
          <w:p>
            <w:pPr>
              <w:pStyle w:val="13"/>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3"/>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服务□环境因素□危险源，■确定□未确定 法律法规要求的具体条款，</w:t>
            </w:r>
          </w:p>
          <w:p>
            <w:pPr>
              <w:pStyle w:val="13"/>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pStyle w:val="13"/>
              <w:tabs>
                <w:tab w:val="left" w:pos="540"/>
              </w:tabs>
              <w:spacing w:line="300" w:lineRule="exact"/>
              <w:ind w:firstLine="0" w:firstLineChars="0"/>
              <w:rPr>
                <w:b/>
                <w:sz w:val="14"/>
                <w:szCs w:val="14"/>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Cs w:val="21"/>
              </w:rPr>
            </w:pPr>
            <w:r>
              <w:rPr>
                <w:rFonts w:hint="eastAsia" w:ascii="宋体" w:hAnsi="宋体"/>
                <w:b/>
                <w:szCs w:val="21"/>
              </w:rPr>
              <w:t>9.目标、方案</w:t>
            </w:r>
          </w:p>
          <w:p>
            <w:pPr>
              <w:spacing w:line="300" w:lineRule="exact"/>
              <w:rPr>
                <w:rFonts w:ascii="宋体" w:hAnsi="宋体" w:cs="宋体"/>
                <w:color w:val="000000"/>
                <w:kern w:val="0"/>
                <w:sz w:val="21"/>
                <w:szCs w:val="21"/>
              </w:rPr>
            </w:pPr>
            <w:r>
              <w:rPr>
                <w:rFonts w:hint="eastAsia"/>
                <w:b/>
                <w:color w:val="000000"/>
                <w:sz w:val="20"/>
              </w:rPr>
              <w:t>（</w:t>
            </w:r>
            <w:r>
              <w:rPr>
                <w:rFonts w:hint="eastAsia" w:ascii="宋体" w:hAnsi="宋体"/>
                <w:b/>
                <w:color w:val="000000"/>
                <w:spacing w:val="-4"/>
                <w:sz w:val="20"/>
              </w:rPr>
              <w:t>在相关层次上建立</w:t>
            </w:r>
            <w:r>
              <w:rPr>
                <w:rFonts w:hint="eastAsia" w:ascii="宋体" w:hAnsi="宋体"/>
                <w:b/>
                <w:color w:val="000000"/>
                <w:sz w:val="20"/>
              </w:rPr>
              <w:t>可测量的目标，目标、方案的有效性，对目标的实现情况进行评价并叙述测量方法）：</w:t>
            </w:r>
          </w:p>
          <w:p>
            <w:pPr>
              <w:spacing w:line="300" w:lineRule="exact"/>
              <w:ind w:firstLine="420" w:firstLineChars="200"/>
              <w:rPr>
                <w:rFonts w:ascii="宋体"/>
                <w:b/>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Cs w:val="21"/>
              </w:rPr>
            </w:pPr>
            <w:r>
              <w:rPr>
                <w:rFonts w:hint="eastAsia"/>
                <w:b/>
                <w:szCs w:val="21"/>
              </w:rPr>
              <w:t>10.文件与记录控制</w:t>
            </w:r>
            <w:r>
              <w:rPr>
                <w:b/>
                <w:szCs w:val="21"/>
              </w:rPr>
              <w:t>(</w:t>
            </w:r>
            <w:r>
              <w:rPr>
                <w:rFonts w:hint="eastAsia" w:ascii="宋体" w:hAnsi="宋体"/>
                <w:b/>
                <w:szCs w:val="21"/>
              </w:rPr>
              <w:t>文审修订后文件与标准的符合程度评价、</w:t>
            </w:r>
            <w:r>
              <w:rPr>
                <w:rFonts w:hint="eastAsia" w:ascii="宋体" w:hAnsi="宋体"/>
                <w:b/>
                <w:spacing w:val="-4"/>
                <w:szCs w:val="21"/>
              </w:rPr>
              <w:t>文件</w:t>
            </w:r>
            <w:r>
              <w:rPr>
                <w:rFonts w:hint="eastAsia" w:ascii="宋体" w:hAnsi="宋体"/>
                <w:b/>
                <w:szCs w:val="21"/>
              </w:rPr>
              <w:t>控制管理等</w:t>
            </w:r>
            <w:r>
              <w:rPr>
                <w:rFonts w:ascii="宋体" w:hAnsi="宋体"/>
                <w:b/>
                <w:szCs w:val="21"/>
              </w:rPr>
              <w:t>)</w:t>
            </w:r>
          </w:p>
          <w:p>
            <w:pPr>
              <w:pStyle w:val="2"/>
              <w:tabs>
                <w:tab w:val="left" w:pos="902"/>
                <w:tab w:val="clear" w:pos="106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2017年4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color w:val="000000"/>
                <w:sz w:val="20"/>
              </w:rPr>
            </w:pPr>
            <w:r>
              <w:rPr>
                <w:rFonts w:hint="eastAsia" w:ascii="宋体" w:hAnsi="宋体"/>
                <w:b/>
                <w:color w:val="000000"/>
                <w:sz w:val="20"/>
              </w:rPr>
              <w:t>人力资源的简要说明</w:t>
            </w:r>
            <w:r>
              <w:rPr>
                <w:b/>
                <w:color w:val="000000"/>
                <w:sz w:val="20"/>
              </w:rPr>
              <w:t>.</w:t>
            </w:r>
            <w:r>
              <w:rPr>
                <w:rFonts w:ascii="宋体" w:hAnsi="宋体"/>
                <w:b/>
                <w:color w:val="000000"/>
                <w:sz w:val="20"/>
              </w:rPr>
              <w:t>:</w:t>
            </w:r>
          </w:p>
          <w:p>
            <w:pPr>
              <w:adjustRightInd w:val="0"/>
              <w:snapToGrid w:val="0"/>
              <w:spacing w:line="360" w:lineRule="auto"/>
              <w:ind w:firstLine="420" w:firstLineChars="200"/>
              <w:rPr>
                <w:rFonts w:ascii="宋体"/>
                <w:b/>
                <w:color w:val="000000"/>
                <w:sz w:val="20"/>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特种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rPr>
            </w:pPr>
            <w:r>
              <w:rPr>
                <w:rFonts w:hint="eastAsia" w:ascii="宋体" w:hAnsi="宋体"/>
                <w:b/>
                <w:color w:val="000000"/>
                <w:sz w:val="20"/>
              </w:rPr>
              <w:t>设备设施（包括信息系统）</w:t>
            </w:r>
          </w:p>
          <w:p>
            <w:pPr>
              <w:spacing w:line="360" w:lineRule="auto"/>
              <w:rPr>
                <w:rFonts w:ascii="宋体"/>
                <w:b/>
                <w:color w:val="FF0000"/>
                <w:sz w:val="20"/>
              </w:rPr>
            </w:pPr>
            <w:r>
              <w:rPr>
                <w:rFonts w:hint="eastAsia" w:ascii="宋体" w:hAnsi="宋体" w:cs="宋体"/>
                <w:color w:val="auto"/>
                <w:sz w:val="21"/>
                <w:szCs w:val="21"/>
              </w:rPr>
              <w:t>办公场所面积</w:t>
            </w:r>
            <w:r>
              <w:rPr>
                <w:rFonts w:hint="eastAsia" w:ascii="宋体" w:hAnsi="宋体" w:cs="宋体"/>
                <w:color w:val="auto"/>
                <w:sz w:val="21"/>
                <w:szCs w:val="21"/>
                <w:lang w:val="en-US" w:eastAsia="zh-CN"/>
              </w:rPr>
              <w:t>15</w:t>
            </w:r>
            <w:r>
              <w:rPr>
                <w:rFonts w:hint="eastAsia" w:ascii="宋体" w:hAnsi="宋体" w:cs="宋体"/>
                <w:color w:val="auto"/>
                <w:sz w:val="21"/>
                <w:szCs w:val="21"/>
              </w:rPr>
              <w:t>0平方米左右.主要设备为</w:t>
            </w:r>
            <w:r>
              <w:rPr>
                <w:rFonts w:hint="eastAsia"/>
                <w:color w:val="auto"/>
                <w:sz w:val="21"/>
                <w:szCs w:val="21"/>
              </w:rPr>
              <w:t>为办公设备、护套机、成缆机、喷码机、带胶条卧式固化炉、研磨机、一体式气动压接机等</w:t>
            </w:r>
            <w:r>
              <w:rPr>
                <w:rFonts w:hint="eastAsia" w:ascii="宋体" w:hAnsi="宋体" w:cs="宋体"/>
                <w:color w:val="auto"/>
                <w:sz w:val="21"/>
                <w:szCs w:val="21"/>
              </w:rPr>
              <w:t>，可以满足</w:t>
            </w:r>
            <w:r>
              <w:rPr>
                <w:color w:val="auto"/>
                <w:sz w:val="20"/>
              </w:rPr>
              <w:t>室外光缆、室内光缆（自承式光缆、蝶形光缆，预制成端蝶形引入光缆）、光分路器、光纤活动连接器、光模块、光波分复用器的生产</w:t>
            </w:r>
            <w:r>
              <w:rPr>
                <w:rFonts w:hint="eastAsia" w:ascii="宋体" w:hAnsi="宋体" w:cs="宋体"/>
                <w:color w:val="auto"/>
                <w:sz w:val="21"/>
                <w:szCs w:val="21"/>
              </w:rPr>
              <w:t>需要。</w:t>
            </w:r>
            <w:r>
              <w:rPr>
                <w:rFonts w:hint="eastAsia" w:ascii="宋体" w:hAnsi="宋体" w:cs="宋体"/>
                <w:color w:val="auto"/>
                <w:sz w:val="21"/>
                <w:szCs w:val="21"/>
                <w:lang w:eastAsia="zh-CN"/>
              </w:rPr>
              <w:t>生产</w:t>
            </w:r>
            <w:r>
              <w:rPr>
                <w:rFonts w:hint="eastAsia" w:ascii="宋体" w:hAnsi="宋体" w:cs="宋体"/>
                <w:color w:val="auto"/>
                <w:sz w:val="21"/>
                <w:szCs w:val="21"/>
              </w:rPr>
              <w:t>部对设备进行了维护保养，并实施。特种设备：</w:t>
            </w:r>
            <w:r>
              <w:rPr>
                <w:rFonts w:hint="eastAsia" w:ascii="宋体" w:hAnsi="宋体"/>
                <w:color w:val="auto"/>
                <w:sz w:val="21"/>
                <w:szCs w:val="21"/>
                <w:lang w:eastAsia="zh-CN"/>
              </w:rPr>
              <w:t>叉车、行车、货运电梯等，提供有年检合格证明，见附件</w:t>
            </w:r>
            <w:r>
              <w:rPr>
                <w:rFonts w:hint="eastAsia" w:ascii="宋体" w:hAnsi="宋体"/>
                <w:color w:val="auto"/>
                <w:sz w:val="21"/>
                <w:szCs w:val="21"/>
                <w:lang w:val="en-US" w:eastAsia="zh-CN"/>
              </w:rPr>
              <w:t xml:space="preserve"> </w:t>
            </w:r>
            <w:r>
              <w:rPr>
                <w:rFonts w:hint="eastAsia" w:ascii="宋体" w:hAnsi="宋体" w:cs="宋体"/>
                <w:color w:val="FF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sz w:val="20"/>
              </w:rPr>
            </w:pPr>
            <w:r>
              <w:rPr>
                <w:rFonts w:hint="eastAsia" w:ascii="宋体" w:hAnsi="宋体"/>
                <w:b/>
                <w:color w:val="000000"/>
                <w:sz w:val="20"/>
              </w:rPr>
              <w:t>过程运行环境</w:t>
            </w:r>
          </w:p>
          <w:p>
            <w:pPr>
              <w:spacing w:line="360" w:lineRule="auto"/>
              <w:ind w:firstLine="420" w:firstLineChars="200"/>
              <w:rPr>
                <w:rFonts w:ascii="宋体"/>
                <w:b/>
                <w:color w:val="000000"/>
                <w:sz w:val="20"/>
              </w:rPr>
            </w:pPr>
            <w:r>
              <w:rPr>
                <w:rFonts w:hint="eastAsia" w:ascii="宋体" w:hAnsi="宋体" w:cs="宋体"/>
                <w:sz w:val="21"/>
                <w:szCs w:val="21"/>
              </w:rPr>
              <w:t>办公室内设备布置合理，通道畅通，照明设施齐全，均配备了消防设施等设施，能满足通信产品生产管理服务。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000000"/>
                <w:sz w:val="20"/>
              </w:rPr>
            </w:pPr>
            <w:r>
              <w:rPr>
                <w:rFonts w:hint="eastAsia" w:ascii="宋体" w:hAnsi="宋体"/>
                <w:b/>
                <w:color w:val="000000"/>
                <w:sz w:val="20"/>
              </w:rPr>
              <w:t>监视和测量资源</w:t>
            </w:r>
          </w:p>
          <w:p>
            <w:pPr>
              <w:spacing w:line="400" w:lineRule="exact"/>
              <w:rPr>
                <w:color w:val="auto"/>
                <w:sz w:val="21"/>
                <w:szCs w:val="21"/>
              </w:rPr>
            </w:pPr>
            <w:r>
              <w:rPr>
                <w:rFonts w:hint="eastAsia"/>
                <w:color w:val="auto"/>
                <w:sz w:val="21"/>
                <w:szCs w:val="21"/>
              </w:rPr>
              <w:t>无，采取人为检查、核对方式进行</w:t>
            </w:r>
            <w:r>
              <w:rPr>
                <w:rFonts w:hint="eastAsia" w:ascii="宋体" w:hAnsi="宋体" w:cs="宋体"/>
                <w:color w:val="auto"/>
                <w:sz w:val="21"/>
                <w:szCs w:val="21"/>
              </w:rPr>
              <w:t>。</w:t>
            </w:r>
          </w:p>
          <w:p>
            <w:pPr>
              <w:spacing w:line="400" w:lineRule="exact"/>
              <w:ind w:firstLine="301" w:firstLineChars="150"/>
              <w:rPr>
                <w:rFonts w:ascii="宋体" w:hAnsi="宋体"/>
                <w:b/>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rPr>
            </w:pPr>
            <w:r>
              <w:rPr>
                <w:rFonts w:hint="eastAsia" w:ascii="宋体" w:hAnsi="宋体"/>
                <w:b/>
                <w:color w:val="000000"/>
                <w:sz w:val="20"/>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b/>
                <w:color w:val="000000"/>
                <w:sz w:val="20"/>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rPr>
            </w:pPr>
            <w:r>
              <w:rPr>
                <w:rFonts w:hint="eastAsia" w:ascii="宋体" w:hAnsi="宋体"/>
                <w:b/>
                <w:color w:val="000000"/>
                <w:sz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color w:val="000000"/>
                <w:sz w:val="20"/>
              </w:rPr>
            </w:pPr>
            <w:r>
              <w:rPr>
                <w:rFonts w:hint="eastAsia" w:ascii="宋体" w:hAnsi="宋体"/>
                <w:b/>
                <w:color w:val="000000"/>
                <w:sz w:val="20"/>
              </w:rPr>
              <w:t>职业健康安全设施：灭火器、配电箱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9" w:hRule="atLeast"/>
          <w:jc w:val="center"/>
        </w:trPr>
        <w:tc>
          <w:tcPr>
            <w:tcW w:w="720" w:type="dxa"/>
            <w:vMerge w:val="restart"/>
            <w:textDirection w:val="tbRlV"/>
            <w:vAlign w:val="center"/>
          </w:tcPr>
          <w:p>
            <w:pPr>
              <w:spacing w:line="240" w:lineRule="exact"/>
              <w:ind w:left="113" w:right="113"/>
              <w:jc w:val="center"/>
              <w:rPr>
                <w:b/>
                <w:szCs w:val="21"/>
              </w:rPr>
            </w:pPr>
            <w:r>
              <w:rPr>
                <w:b/>
                <w:szCs w:val="21"/>
              </w:rPr>
              <w:t>(</w:t>
            </w:r>
            <w:r>
              <w:rPr>
                <w:rFonts w:hint="eastAsia"/>
                <w:b/>
                <w:szCs w:val="21"/>
              </w:rPr>
              <w:t>三</w:t>
            </w:r>
            <w:r>
              <w:rPr>
                <w:b/>
                <w:szCs w:val="21"/>
              </w:rPr>
              <w:t>)</w:t>
            </w:r>
            <w:r>
              <w:rPr>
                <w:rFonts w:hint="eastAsia"/>
                <w:b/>
                <w:szCs w:val="21"/>
              </w:rPr>
              <w:t>体系运行情况</w:t>
            </w:r>
          </w:p>
        </w:tc>
        <w:tc>
          <w:tcPr>
            <w:tcW w:w="9198" w:type="dxa"/>
          </w:tcPr>
          <w:p>
            <w:pPr>
              <w:spacing w:line="300" w:lineRule="exact"/>
              <w:rPr>
                <w:b/>
                <w:szCs w:val="21"/>
              </w:rPr>
            </w:pPr>
            <w:r>
              <w:rPr>
                <w:b/>
                <w:szCs w:val="21"/>
              </w:rPr>
              <w:t xml:space="preserve">1. </w:t>
            </w:r>
            <w:r>
              <w:rPr>
                <w:rFonts w:hint="eastAsia"/>
                <w:b/>
                <w:szCs w:val="21"/>
              </w:rPr>
              <w:t>针对方针的管理职责评审</w:t>
            </w:r>
          </w:p>
          <w:p>
            <w:pPr>
              <w:spacing w:line="300" w:lineRule="exact"/>
              <w:ind w:left="1"/>
              <w:rPr>
                <w:b/>
                <w:szCs w:val="21"/>
              </w:rPr>
            </w:pPr>
            <w:r>
              <w:rPr>
                <w:rFonts w:hint="eastAsia"/>
                <w:b/>
                <w:szCs w:val="21"/>
              </w:rPr>
              <w:t>（包括针对组织宗旨，制定相关管理方针政策、确保方针为员工理解并在运营中实施，监视方针的实施并评审方针的适宜性）</w:t>
            </w:r>
          </w:p>
          <w:p>
            <w:pPr>
              <w:spacing w:line="300" w:lineRule="exact"/>
              <w:ind w:left="1" w:firstLine="420" w:firstLineChars="200"/>
              <w:rPr>
                <w:b/>
                <w:szCs w:val="21"/>
              </w:rPr>
            </w:pPr>
            <w:r>
              <w:rPr>
                <w:rFonts w:hint="eastAsia" w:ascii="宋体" w:hAnsi="宋体" w:cs="宋体"/>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90" w:hangingChars="79"/>
              <w:rPr>
                <w:b/>
                <w:szCs w:val="21"/>
              </w:rPr>
            </w:pPr>
            <w:r>
              <w:rPr>
                <w:b/>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szCs w:val="21"/>
              </w:rPr>
            </w:pPr>
            <w:r>
              <w:rPr>
                <w:rFonts w:hint="eastAsia" w:ascii="楷体_GB2312" w:eastAsia="楷体_GB2312"/>
                <w:b/>
                <w:color w:val="000000" w:themeColor="text1"/>
                <w:sz w:val="20"/>
              </w:rPr>
              <w:t>重要环境因素信息对外交流情况（EMS填写）：</w:t>
            </w:r>
            <w:r>
              <w:rPr>
                <w:rFonts w:hint="eastAsia"/>
                <w:szCs w:val="21"/>
              </w:rPr>
              <w:t>/</w:t>
            </w:r>
          </w:p>
          <w:p>
            <w:pPr>
              <w:spacing w:line="240" w:lineRule="exact"/>
              <w:rPr>
                <w:rFonts w:ascii="楷体_GB2312" w:eastAsia="楷体_GB2312"/>
                <w:b/>
                <w:color w:val="000000" w:themeColor="text1"/>
                <w:sz w:val="20"/>
              </w:rPr>
            </w:pPr>
          </w:p>
          <w:p>
            <w:pPr>
              <w:spacing w:line="240" w:lineRule="exact"/>
              <w:rPr>
                <w:rFonts w:ascii="楷体_GB2312" w:eastAsia="楷体_GB2312"/>
                <w:b/>
                <w:color w:val="000000" w:themeColor="text1"/>
                <w:sz w:val="20"/>
              </w:rPr>
            </w:pPr>
            <w:r>
              <w:rPr>
                <w:rFonts w:hint="eastAsia" w:ascii="楷体_GB2312" w:eastAsia="楷体_GB2312"/>
                <w:b/>
                <w:color w:val="000000" w:themeColor="text1"/>
                <w:sz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楷体_GB2312" w:eastAsia="楷体_GB2312"/>
                <w:b/>
                <w:color w:val="000000" w:themeColor="text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Cs w:val="21"/>
              </w:rPr>
            </w:pPr>
            <w:r>
              <w:rPr>
                <w:b/>
                <w:szCs w:val="21"/>
              </w:rPr>
              <w:t xml:space="preserve">3.  QMS </w:t>
            </w:r>
            <w:r>
              <w:rPr>
                <w:rFonts w:hint="eastAsia"/>
                <w:b/>
                <w:szCs w:val="21"/>
              </w:rPr>
              <w:t>组织对重要过程实施控制的结果</w:t>
            </w:r>
          </w:p>
          <w:p>
            <w:pPr>
              <w:spacing w:line="240" w:lineRule="exact"/>
              <w:ind w:left="221" w:leftChars="42" w:hanging="120" w:hangingChars="50"/>
              <w:rPr>
                <w:b/>
                <w:szCs w:val="21"/>
              </w:rPr>
            </w:pPr>
            <w:r>
              <w:rPr>
                <w:b/>
                <w:szCs w:val="21"/>
              </w:rPr>
              <w:t>(</w:t>
            </w:r>
            <w:r>
              <w:rPr>
                <w:rFonts w:hint="eastAsia"/>
                <w:b/>
                <w:szCs w:val="21"/>
              </w:rPr>
              <w:t>包括对</w:t>
            </w:r>
            <w:r>
              <w:rPr>
                <w:b/>
                <w:szCs w:val="21"/>
              </w:rPr>
              <w:t>QMS</w:t>
            </w:r>
            <w:r>
              <w:rPr>
                <w:rFonts w:hint="eastAsia"/>
                <w:b/>
                <w:szCs w:val="21"/>
              </w:rPr>
              <w:t>关键工序</w:t>
            </w:r>
            <w:r>
              <w:rPr>
                <w:b/>
                <w:szCs w:val="21"/>
              </w:rPr>
              <w:t>(</w:t>
            </w:r>
            <w:r>
              <w:rPr>
                <w:rFonts w:hint="eastAsia"/>
                <w:b/>
                <w:szCs w:val="21"/>
              </w:rPr>
              <w:t>过程</w:t>
            </w:r>
            <w:r>
              <w:rPr>
                <w:b/>
                <w:szCs w:val="21"/>
              </w:rPr>
              <w:t>)</w:t>
            </w:r>
            <w:r>
              <w:rPr>
                <w:rFonts w:hint="eastAsia"/>
                <w:b/>
                <w:szCs w:val="21"/>
              </w:rPr>
              <w:t>、特殊过程控制</w:t>
            </w:r>
            <w:r>
              <w:rPr>
                <w:b/>
                <w:szCs w:val="21"/>
              </w:rPr>
              <w:t>;</w:t>
            </w:r>
            <w:r>
              <w:rPr>
                <w:rFonts w:hint="eastAsia"/>
                <w:b/>
                <w:szCs w:val="21"/>
              </w:rPr>
              <w:t>评价组织对过程实施控制情况</w:t>
            </w:r>
            <w:r>
              <w:rPr>
                <w:b/>
                <w:szCs w:val="21"/>
              </w:rPr>
              <w:t>/)</w:t>
            </w:r>
          </w:p>
          <w:p>
            <w:pPr>
              <w:spacing w:line="240" w:lineRule="exact"/>
              <w:ind w:firstLine="420" w:firstLineChars="200"/>
              <w:rPr>
                <w:b/>
                <w:szCs w:val="21"/>
              </w:rPr>
            </w:pP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b/>
                <w:color w:val="000000"/>
                <w:sz w:val="20"/>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pPr>
              <w:spacing w:line="360" w:lineRule="auto"/>
              <w:ind w:firstLine="210" w:firstLineChars="100"/>
              <w:rPr>
                <w:b/>
                <w:color w:val="000000"/>
                <w:sz w:val="20"/>
              </w:rPr>
            </w:pPr>
            <w:r>
              <w:rPr>
                <w:rFonts w:hint="eastAsia" w:ascii="宋体" w:hAnsi="宋体" w:cs="宋体"/>
                <w:color w:val="000000"/>
                <w:sz w:val="21"/>
                <w:szCs w:val="21"/>
              </w:rPr>
              <w:t>/</w:t>
            </w:r>
          </w:p>
          <w:p>
            <w:pPr>
              <w:spacing w:line="240" w:lineRule="exact"/>
              <w:rPr>
                <w:b/>
                <w:color w:val="000000"/>
                <w:sz w:val="20"/>
              </w:rPr>
            </w:pPr>
            <w:r>
              <w:rPr>
                <w:b/>
                <w:color w:val="000000"/>
                <w:sz w:val="20"/>
              </w:rPr>
              <w:t>(</w:t>
            </w:r>
            <w:r>
              <w:rPr>
                <w:rFonts w:hint="eastAsia"/>
                <w:b/>
                <w:color w:val="000000"/>
                <w:sz w:val="20"/>
              </w:rPr>
              <w:t>应说明相关证据</w:t>
            </w:r>
            <w:r>
              <w:rPr>
                <w:b/>
                <w:color w:val="000000"/>
                <w:sz w:val="20"/>
              </w:rPr>
              <w:t>)</w:t>
            </w:r>
            <w:r>
              <w:rPr>
                <w:rFonts w:hint="eastAsia"/>
                <w:b/>
                <w:color w:val="000000"/>
                <w:sz w:val="20"/>
              </w:rPr>
              <w:t>：</w:t>
            </w:r>
          </w:p>
          <w:p>
            <w:pPr>
              <w:spacing w:line="24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pPr>
              <w:spacing w:line="240" w:lineRule="exact"/>
              <w:ind w:firstLine="201" w:firstLineChars="100"/>
              <w:rPr>
                <w:b/>
                <w:color w:val="000000"/>
                <w:sz w:val="20"/>
              </w:rPr>
            </w:pPr>
          </w:p>
          <w:p>
            <w:pPr>
              <w:spacing w:line="360" w:lineRule="auto"/>
              <w:ind w:firstLine="210" w:firstLineChars="100"/>
              <w:rPr>
                <w:rFonts w:ascii="宋体" w:hAnsi="宋体" w:cs="宋体"/>
                <w:color w:val="000000"/>
                <w:sz w:val="21"/>
                <w:szCs w:val="21"/>
              </w:rPr>
            </w:pPr>
            <w:r>
              <w:rPr>
                <w:rFonts w:hint="eastAsia" w:ascii="宋体" w:hAnsi="宋体" w:cs="宋体"/>
                <w:color w:val="000000"/>
                <w:sz w:val="21"/>
                <w:szCs w:val="21"/>
              </w:rPr>
              <w:t>无</w:t>
            </w:r>
          </w:p>
          <w:p>
            <w:pPr>
              <w:spacing w:line="300" w:lineRule="exact"/>
              <w:ind w:firstLine="197" w:firstLineChars="98"/>
              <w:rPr>
                <w:b/>
                <w:color w:val="000000"/>
                <w:sz w:val="20"/>
              </w:rPr>
            </w:pPr>
            <w:r>
              <w:rPr>
                <w:rFonts w:hint="eastAsia"/>
                <w:b/>
                <w:color w:val="000000"/>
                <w:sz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spacing w:val="-8"/>
                <w:sz w:val="20"/>
              </w:rPr>
            </w:pPr>
            <w:r>
              <w:rPr>
                <w:b/>
                <w:color w:val="000000"/>
                <w:sz w:val="20"/>
              </w:rPr>
              <w:t xml:space="preserve">6. </w:t>
            </w: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pPr>
              <w:spacing w:line="360" w:lineRule="auto"/>
              <w:ind w:firstLine="360" w:firstLineChars="200"/>
              <w:jc w:val="left"/>
              <w:rPr>
                <w:b/>
                <w:color w:val="000000"/>
                <w:sz w:val="18"/>
                <w:szCs w:val="18"/>
              </w:rPr>
            </w:pPr>
            <w:r>
              <w:rPr>
                <w:rFonts w:hint="eastAsia" w:ascii="宋体" w:hAnsi="宋体" w:cs="宋体"/>
                <w:color w:val="000000"/>
                <w:sz w:val="18"/>
                <w:szCs w:val="18"/>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rPr>
            </w:pPr>
            <w:r>
              <w:rPr>
                <w:rFonts w:hint="eastAsia"/>
                <w:b/>
                <w:color w:val="000000" w:themeColor="text1"/>
                <w:sz w:val="20"/>
              </w:rPr>
              <w:t>7. EMS组织对重要环境因素实施控制的结果</w:t>
            </w:r>
          </w:p>
          <w:p>
            <w:pPr>
              <w:spacing w:line="240" w:lineRule="exact"/>
              <w:rPr>
                <w:b/>
                <w:color w:val="000000" w:themeColor="text1"/>
                <w:sz w:val="20"/>
              </w:rPr>
            </w:pPr>
            <w:r>
              <w:rPr>
                <w:rFonts w:hint="eastAsia"/>
                <w:b/>
                <w:color w:val="000000" w:themeColor="text1"/>
                <w:sz w:val="20"/>
              </w:rPr>
              <w:t>（EMS对重要环境因素控制，重大环境因素对周边环境产生的影响及控制;对相关方施加影响）</w:t>
            </w:r>
          </w:p>
          <w:p>
            <w:pPr>
              <w:tabs>
                <w:tab w:val="left" w:pos="2552"/>
              </w:tabs>
              <w:spacing w:line="360" w:lineRule="exact"/>
              <w:ind w:firstLine="315" w:firstLineChars="150"/>
              <w:rPr>
                <w:b/>
                <w:color w:val="000000" w:themeColor="text1"/>
                <w:sz w:val="21"/>
                <w:szCs w:val="21"/>
              </w:rPr>
            </w:pPr>
            <w:r>
              <w:rPr>
                <w:rFonts w:hint="eastAsia" w:asciiTheme="minorEastAsia" w:hAnsiTheme="minorEastAsia" w:eastAsiaTheme="minorEastAsia"/>
                <w:bCs/>
                <w:i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组织建立了危险源识别、评价控制程序，识别评价了危险源、风险相关的过程，评价出了重要危险源，与之相关的过程有服务、信息处理过程，针对不可接受风险制定了管理方案。控制措施实施有效。</w:t>
            </w:r>
          </w:p>
          <w:p>
            <w:pPr>
              <w:spacing w:line="240" w:lineRule="exact"/>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1"/>
                <w:szCs w:val="21"/>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w:t>
            </w:r>
            <w:r>
              <w:rPr>
                <w:b/>
                <w:szCs w:val="21"/>
              </w:rPr>
              <w:t>适用时</w:t>
            </w:r>
            <w:r>
              <w:rPr>
                <w:rFonts w:hint="eastAsia"/>
                <w:b/>
                <w:szCs w:val="21"/>
              </w:rPr>
              <w:t>）</w:t>
            </w:r>
          </w:p>
          <w:p>
            <w:pPr>
              <w:ind w:left="240" w:leftChars="100" w:firstLine="105" w:firstLineChars="50"/>
              <w:jc w:val="left"/>
              <w:rPr>
                <w:rFonts w:ascii="宋体" w:hAnsi="宋体" w:cs="宋体"/>
                <w:color w:val="FF0000"/>
                <w:sz w:val="21"/>
                <w:szCs w:val="21"/>
              </w:rPr>
            </w:pPr>
            <w:r>
              <w:rPr>
                <w:rFonts w:hint="eastAsia" w:ascii="宋体" w:hAnsi="宋体" w:cs="宋体"/>
                <w:color w:val="auto"/>
                <w:sz w:val="21"/>
                <w:szCs w:val="21"/>
              </w:rPr>
              <w:t>有行车</w:t>
            </w:r>
            <w:r>
              <w:rPr>
                <w:rFonts w:hint="eastAsia" w:ascii="宋体" w:hAnsi="宋体" w:cs="宋体"/>
                <w:color w:val="auto"/>
                <w:sz w:val="21"/>
                <w:szCs w:val="21"/>
                <w:lang w:eastAsia="zh-CN"/>
              </w:rPr>
              <w:t>、</w:t>
            </w:r>
            <w:r>
              <w:rPr>
                <w:rFonts w:hint="eastAsia" w:ascii="宋体" w:hAnsi="宋体" w:cs="宋体"/>
                <w:color w:val="auto"/>
                <w:sz w:val="21"/>
                <w:szCs w:val="21"/>
              </w:rPr>
              <w:t>叉</w:t>
            </w:r>
            <w:r>
              <w:rPr>
                <w:rFonts w:hint="eastAsia" w:ascii="宋体" w:hAnsi="宋体" w:cs="宋体"/>
                <w:color w:val="auto"/>
                <w:sz w:val="21"/>
                <w:szCs w:val="21"/>
                <w:lang w:eastAsia="zh-CN"/>
              </w:rPr>
              <w:t>车、货运电梯</w:t>
            </w:r>
            <w:r>
              <w:rPr>
                <w:rFonts w:hint="eastAsia" w:ascii="宋体" w:hAnsi="宋体" w:cs="宋体"/>
                <w:color w:val="auto"/>
                <w:sz w:val="21"/>
                <w:szCs w:val="21"/>
              </w:rPr>
              <w:t>，已</w:t>
            </w:r>
            <w:r>
              <w:rPr>
                <w:rFonts w:hint="eastAsia" w:ascii="宋体" w:hAnsi="宋体" w:cs="宋体"/>
                <w:color w:val="auto"/>
                <w:sz w:val="21"/>
                <w:szCs w:val="21"/>
                <w:lang w:eastAsia="zh-CN"/>
              </w:rPr>
              <w:t>年</w:t>
            </w:r>
            <w:r>
              <w:rPr>
                <w:rFonts w:hint="eastAsia" w:ascii="宋体" w:hAnsi="宋体" w:cs="宋体"/>
                <w:color w:val="auto"/>
                <w:sz w:val="21"/>
                <w:szCs w:val="21"/>
              </w:rPr>
              <w:t>检，在有效期内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szCs w:val="21"/>
              </w:rPr>
            </w:pPr>
            <w:r>
              <w:rPr>
                <w:b/>
                <w:szCs w:val="21"/>
              </w:rPr>
              <w:t>11 .</w:t>
            </w:r>
            <w:r>
              <w:rPr>
                <w:rFonts w:hint="eastAsia"/>
                <w:b/>
                <w:szCs w:val="21"/>
              </w:rPr>
              <w:t>对危险化学品销售、使用、储存、运输处置，规定的执行力度</w:t>
            </w:r>
            <w:r>
              <w:rPr>
                <w:b/>
                <w:szCs w:val="21"/>
              </w:rPr>
              <w:t>(</w:t>
            </w:r>
            <w:r>
              <w:rPr>
                <w:rFonts w:hint="eastAsia"/>
                <w:b/>
                <w:szCs w:val="21"/>
              </w:rPr>
              <w:t>必要时</w:t>
            </w:r>
            <w:r>
              <w:rPr>
                <w:b/>
                <w:szCs w:val="21"/>
              </w:rPr>
              <w:t>);</w:t>
            </w:r>
          </w:p>
          <w:p>
            <w:pPr>
              <w:spacing w:line="240" w:lineRule="exact"/>
              <w:rPr>
                <w:b/>
                <w:szCs w:val="21"/>
              </w:rPr>
            </w:pPr>
            <w:r>
              <w:rPr>
                <w:rFonts w:hint="eastAsia"/>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textDirection w:val="tbRlV"/>
            <w:vAlign w:val="center"/>
          </w:tcPr>
          <w:p>
            <w:pPr>
              <w:spacing w:line="240" w:lineRule="exact"/>
              <w:ind w:left="113" w:right="113"/>
              <w:jc w:val="center"/>
              <w:rPr>
                <w:b/>
                <w:szCs w:val="21"/>
              </w:rPr>
            </w:pPr>
            <w:r>
              <w:rPr>
                <w:b/>
                <w:szCs w:val="21"/>
              </w:rPr>
              <w:t>(</w:t>
            </w:r>
            <w:r>
              <w:rPr>
                <w:rFonts w:hint="eastAsia"/>
                <w:b/>
                <w:szCs w:val="21"/>
              </w:rPr>
              <w:t>四</w:t>
            </w:r>
            <w:r>
              <w:rPr>
                <w:b/>
                <w:szCs w:val="21"/>
              </w:rPr>
              <w:t>)</w:t>
            </w:r>
            <w:r>
              <w:rPr>
                <w:rFonts w:hint="eastAsia"/>
                <w:b/>
                <w:szCs w:val="21"/>
              </w:rPr>
              <w:t>监视测量方面</w:t>
            </w:r>
          </w:p>
        </w:tc>
        <w:tc>
          <w:tcPr>
            <w:tcW w:w="9198" w:type="dxa"/>
          </w:tcPr>
          <w:p>
            <w:pPr>
              <w:spacing w:line="240" w:lineRule="exact"/>
              <w:ind w:left="100" w:hanging="100" w:hangingChars="50"/>
              <w:rPr>
                <w:rFonts w:ascii="宋体" w:hAnsi="宋体"/>
                <w:b/>
                <w:sz w:val="20"/>
              </w:rPr>
            </w:pPr>
            <w:r>
              <w:rPr>
                <w:rFonts w:ascii="宋体" w:hAnsi="宋体"/>
                <w:b/>
                <w:sz w:val="20"/>
              </w:rPr>
              <w:t>1. .</w:t>
            </w:r>
            <w:r>
              <w:rPr>
                <w:rFonts w:hint="eastAsia" w:ascii="宋体" w:hAnsi="宋体"/>
                <w:b/>
                <w:sz w:val="20"/>
              </w:rPr>
              <w:t>对质量</w:t>
            </w:r>
            <w:r>
              <w:rPr>
                <w:rFonts w:ascii="宋体" w:hAnsi="宋体"/>
                <w:b/>
                <w:sz w:val="20"/>
              </w:rPr>
              <w:t>/</w:t>
            </w:r>
            <w:r>
              <w:rPr>
                <w:rFonts w:hint="eastAsia" w:ascii="宋体" w:hAnsi="宋体"/>
                <w:b/>
                <w:sz w:val="20"/>
              </w:rPr>
              <w:t>环境</w:t>
            </w:r>
            <w:r>
              <w:rPr>
                <w:rFonts w:ascii="宋体" w:hAnsi="宋体"/>
                <w:b/>
                <w:sz w:val="20"/>
              </w:rPr>
              <w:t>/</w:t>
            </w:r>
            <w:r>
              <w:rPr>
                <w:rFonts w:hint="eastAsia" w:ascii="宋体" w:hAnsi="宋体"/>
                <w:b/>
                <w:sz w:val="20"/>
              </w:rPr>
              <w:t>职业健康安全目标指标进行定期监测</w:t>
            </w:r>
            <w:r>
              <w:rPr>
                <w:rFonts w:ascii="宋体" w:hAnsi="宋体"/>
                <w:b/>
                <w:sz w:val="20"/>
              </w:rPr>
              <w:t>/</w:t>
            </w:r>
            <w:r>
              <w:rPr>
                <w:rFonts w:hint="eastAsia" w:ascii="宋体" w:hAnsi="宋体"/>
                <w:b/>
                <w:sz w:val="20"/>
              </w:rPr>
              <w:t>检查情况</w:t>
            </w:r>
          </w:p>
          <w:p>
            <w:pPr>
              <w:spacing w:line="240" w:lineRule="exact"/>
              <w:ind w:left="-120" w:leftChars="-50" w:firstLine="420" w:firstLineChars="200"/>
              <w:rPr>
                <w:rFonts w:ascii="宋体"/>
                <w:b/>
                <w:sz w:val="20"/>
              </w:rPr>
            </w:pPr>
            <w:r>
              <w:rPr>
                <w:rFonts w:hint="eastAsia" w:ascii="宋体" w:hAnsi="宋体" w:cs="宋体"/>
                <w:color w:val="000000"/>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通过2019年1-10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1"/>
              </w:numPr>
              <w:spacing w:line="240" w:lineRule="exact"/>
              <w:ind w:left="100" w:hanging="100" w:hangingChars="50"/>
              <w:rPr>
                <w:b/>
                <w:color w:val="000000"/>
                <w:sz w:val="20"/>
              </w:rPr>
            </w:pPr>
            <w:r>
              <w:rPr>
                <w:rFonts w:hint="eastAsia"/>
                <w:b/>
                <w:color w:val="000000"/>
                <w:sz w:val="20"/>
              </w:rPr>
              <w:t>顾客满意</w:t>
            </w:r>
          </w:p>
          <w:p>
            <w:pPr>
              <w:spacing w:line="240" w:lineRule="exact"/>
              <w:ind w:left="-120" w:leftChars="-50" w:firstLine="420" w:firstLineChars="200"/>
              <w:rPr>
                <w:b/>
                <w:color w:val="000000"/>
                <w:sz w:val="20"/>
              </w:rPr>
            </w:pP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b/>
                <w:sz w:val="20"/>
              </w:rPr>
            </w:pPr>
            <w:r>
              <w:rPr>
                <w:b/>
                <w:sz w:val="20"/>
              </w:rPr>
              <w:t xml:space="preserve">3. </w:t>
            </w:r>
            <w:r>
              <w:rPr>
                <w:rFonts w:hint="eastAsia"/>
                <w:b/>
                <w:sz w:val="20"/>
              </w:rPr>
              <w:t>内审（包括内审策划审核方案中考虑拟审核的过程和区域的状况和重要性）</w:t>
            </w:r>
          </w:p>
          <w:p>
            <w:pPr>
              <w:spacing w:line="240" w:lineRule="exact"/>
              <w:rPr>
                <w:b/>
                <w:spacing w:val="-8"/>
                <w:sz w:val="20"/>
              </w:rPr>
            </w:pPr>
          </w:p>
          <w:p>
            <w:pPr>
              <w:spacing w:line="360" w:lineRule="auto"/>
              <w:ind w:firstLine="420" w:firstLineChars="200"/>
              <w:rPr>
                <w:b/>
                <w:color w:val="FF0000"/>
                <w:sz w:val="20"/>
              </w:rPr>
            </w:pPr>
            <w:r>
              <w:rPr>
                <w:rFonts w:hint="eastAsia" w:ascii="宋体" w:hAnsi="宋体" w:cs="宋体"/>
                <w:color w:val="auto"/>
                <w:sz w:val="21"/>
                <w:szCs w:val="21"/>
              </w:rPr>
              <w:t>建立有《内部审核控制程序》，规定了内审频次一年一次，内审时间：2019年</w:t>
            </w:r>
            <w:r>
              <w:rPr>
                <w:rFonts w:hint="eastAsia" w:ascii="宋体" w:hAnsi="宋体" w:cs="宋体"/>
                <w:color w:val="auto"/>
                <w:sz w:val="21"/>
                <w:szCs w:val="21"/>
                <w:lang w:val="en-US" w:eastAsia="zh-CN"/>
              </w:rPr>
              <w:t>8</w:t>
            </w:r>
            <w:r>
              <w:rPr>
                <w:rFonts w:hint="eastAsia" w:ascii="宋体" w:hAnsi="宋体" w:cs="宋体"/>
                <w:color w:val="auto"/>
                <w:sz w:val="21"/>
                <w:szCs w:val="21"/>
              </w:rPr>
              <w:t>月</w:t>
            </w:r>
            <w:r>
              <w:rPr>
                <w:rFonts w:hint="eastAsia" w:ascii="宋体" w:hAnsi="宋体" w:cs="宋体"/>
                <w:color w:val="auto"/>
                <w:sz w:val="21"/>
                <w:szCs w:val="21"/>
                <w:lang w:val="en-US" w:eastAsia="zh-CN"/>
              </w:rPr>
              <w:t>5</w:t>
            </w:r>
            <w:r>
              <w:rPr>
                <w:rFonts w:hint="eastAsia" w:ascii="宋体" w:hAnsi="宋体" w:cs="宋体"/>
                <w:color w:val="auto"/>
                <w:sz w:val="21"/>
                <w:szCs w:val="21"/>
              </w:rPr>
              <w:t>日，拟定了审核实施表，明确了内审范围，内审人员经培训合格上岗，能力满足要求，未出现审核本部门情况，内审不符合项1项，</w:t>
            </w:r>
            <w:r>
              <w:rPr>
                <w:rFonts w:hint="eastAsia"/>
                <w:color w:val="auto"/>
                <w:sz w:val="21"/>
                <w:szCs w:val="21"/>
              </w:rPr>
              <w:t>涉及</w:t>
            </w:r>
            <w:r>
              <w:rPr>
                <w:rFonts w:hint="eastAsia"/>
                <w:color w:val="auto"/>
                <w:sz w:val="21"/>
                <w:szCs w:val="21"/>
                <w:lang w:eastAsia="zh-CN"/>
              </w:rPr>
              <w:t>生产</w:t>
            </w:r>
            <w:r>
              <w:rPr>
                <w:rFonts w:hint="eastAsia"/>
                <w:color w:val="auto"/>
                <w:sz w:val="21"/>
                <w:szCs w:val="21"/>
              </w:rPr>
              <w:t>部</w:t>
            </w:r>
            <w:r>
              <w:rPr>
                <w:rFonts w:hint="eastAsia"/>
                <w:color w:val="auto"/>
                <w:sz w:val="21"/>
                <w:szCs w:val="21"/>
                <w:lang w:val="en-US" w:eastAsia="zh-CN"/>
              </w:rPr>
              <w:t>S4.4.6条款车间现场旋转设备前未进行防护管理</w:t>
            </w:r>
            <w:r>
              <w:rPr>
                <w:rFonts w:hint="eastAsia" w:ascii="宋体" w:hAnsi="宋体" w:cs="宋体"/>
                <w:color w:val="auto"/>
                <w:sz w:val="21"/>
                <w:szCs w:val="21"/>
              </w:rPr>
              <w:t>，已及时采取纠正措施后，经内审员验证关闭。内审的有效性需要改善。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b/>
                <w:sz w:val="20"/>
              </w:rPr>
            </w:pPr>
            <w:r>
              <w:rPr>
                <w:b/>
                <w:sz w:val="20"/>
              </w:rPr>
              <w:t>4.</w:t>
            </w:r>
            <w:r>
              <w:rPr>
                <w:rFonts w:hint="eastAsia"/>
                <w:b/>
                <w:sz w:val="20"/>
              </w:rPr>
              <w:t>管理评审（管理评审体系变更需求，纠正和预防措施、体系有效性等）</w:t>
            </w:r>
          </w:p>
          <w:p>
            <w:pPr>
              <w:spacing w:line="240" w:lineRule="exact"/>
              <w:rPr>
                <w:b/>
                <w:color w:val="FF0000"/>
                <w:sz w:val="20"/>
              </w:rPr>
            </w:pPr>
            <w:r>
              <w:rPr>
                <w:rFonts w:hint="eastAsia" w:ascii="宋体" w:hAnsi="宋体" w:cs="宋体"/>
                <w:color w:val="auto"/>
                <w:sz w:val="21"/>
                <w:szCs w:val="21"/>
              </w:rPr>
              <w:t>管理评审频次为一年一次、本次管理评审于2019.</w:t>
            </w:r>
            <w:r>
              <w:rPr>
                <w:rFonts w:hint="eastAsia" w:ascii="宋体" w:hAnsi="宋体" w:cs="宋体"/>
                <w:color w:val="auto"/>
                <w:sz w:val="21"/>
                <w:szCs w:val="21"/>
                <w:lang w:val="en-US" w:eastAsia="zh-CN"/>
              </w:rPr>
              <w:t>9</w:t>
            </w:r>
            <w:r>
              <w:rPr>
                <w:rFonts w:hint="eastAsia" w:ascii="宋体" w:hAnsi="宋体" w:cs="宋体"/>
                <w:color w:val="auto"/>
                <w:sz w:val="21"/>
                <w:szCs w:val="21"/>
              </w:rPr>
              <w:t>.2</w:t>
            </w:r>
            <w:r>
              <w:rPr>
                <w:rFonts w:hint="eastAsia" w:ascii="宋体" w:hAnsi="宋体" w:cs="宋体"/>
                <w:color w:val="auto"/>
                <w:sz w:val="21"/>
                <w:szCs w:val="21"/>
                <w:lang w:val="en-US" w:eastAsia="zh-CN"/>
              </w:rPr>
              <w:t>0</w:t>
            </w:r>
            <w:r>
              <w:rPr>
                <w:rFonts w:hint="eastAsia" w:ascii="宋体" w:hAnsi="宋体" w:cs="宋体"/>
                <w:color w:val="auto"/>
                <w:sz w:val="21"/>
                <w:szCs w:val="21"/>
              </w:rPr>
              <w:t>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rPr>
            </w:pPr>
            <w:r>
              <w:rPr>
                <w:rFonts w:hint="eastAsia"/>
                <w:b/>
                <w:color w:val="000000" w:themeColor="text1"/>
                <w:sz w:val="20"/>
              </w:rPr>
              <w:t>5.  EMS是否按规定对主要污染物（污水、废气、噪声、废渣等）及排放实施了例行的监视或测量，结果是否满足相关要求？</w:t>
            </w:r>
          </w:p>
          <w:p>
            <w:pPr>
              <w:spacing w:line="240" w:lineRule="exact"/>
              <w:ind w:firstLine="200" w:firstLineChars="100"/>
              <w:rPr>
                <w:sz w:val="20"/>
              </w:rPr>
            </w:pP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 xml:space="preserve">国家/地方环保部门监测结果、新改扩建项目符合环评报告、三同时验收报告要求情况及措施 </w:t>
            </w:r>
          </w:p>
          <w:p>
            <w:pPr>
              <w:spacing w:line="240" w:lineRule="exact"/>
              <w:rPr>
                <w:b/>
                <w:sz w:val="20"/>
              </w:rPr>
            </w:pP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b/>
                <w:color w:val="000000" w:themeColor="text1"/>
                <w:sz w:val="20"/>
              </w:rPr>
            </w:pPr>
            <w:r>
              <w:rPr>
                <w:rFonts w:hint="eastAsia"/>
                <w:b/>
                <w:color w:val="000000" w:themeColor="text1"/>
                <w:sz w:val="20"/>
              </w:rPr>
              <w:t>7. OHSMS是否按规定对职业健康安全项目进行定期测量，结果是否满足相关要求：</w:t>
            </w:r>
          </w:p>
          <w:p>
            <w:pPr>
              <w:spacing w:line="240" w:lineRule="exact"/>
              <w:rPr>
                <w:b/>
                <w:color w:val="000000" w:themeColor="text1"/>
                <w:sz w:val="20"/>
              </w:rPr>
            </w:pPr>
            <w:r>
              <w:rPr>
                <w:rFonts w:hint="eastAsia"/>
                <w:sz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rPr>
            </w:pPr>
            <w:r>
              <w:rPr>
                <w:rFonts w:hint="eastAsia"/>
                <w:b/>
                <w:color w:val="000000" w:themeColor="text1"/>
                <w:sz w:val="20"/>
              </w:rPr>
              <w:t>8.OHSMS国家/地方职业健康安全部门监督检查情况及措施</w:t>
            </w:r>
          </w:p>
          <w:p>
            <w:pPr>
              <w:spacing w:line="240" w:lineRule="exact"/>
              <w:rPr>
                <w:b/>
                <w:sz w:val="20"/>
              </w:rPr>
            </w:pP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b/>
                <w:color w:val="000000" w:themeColor="text1"/>
                <w:sz w:val="20"/>
              </w:rPr>
            </w:pPr>
            <w:r>
              <w:rPr>
                <w:rFonts w:hint="eastAsia"/>
                <w:b/>
                <w:color w:val="000000" w:themeColor="text1"/>
                <w:sz w:val="20"/>
              </w:rPr>
              <w:t>9. 其他能够标明组织绩效、信誉的证据/信息：</w:t>
            </w:r>
          </w:p>
          <w:p>
            <w:pPr>
              <w:widowControl/>
              <w:spacing w:line="240" w:lineRule="exact"/>
              <w:rPr>
                <w:b/>
                <w:sz w:val="20"/>
              </w:rPr>
            </w:pPr>
            <w:r>
              <w:rPr>
                <w:rFonts w:hint="eastAsia"/>
                <w:b/>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jc w:val="center"/>
              <w:rPr>
                <w:b/>
                <w:sz w:val="20"/>
              </w:rPr>
            </w:pPr>
            <w:r>
              <w:rPr>
                <w:rFonts w:hint="eastAsia"/>
                <w:b/>
                <w:sz w:val="20"/>
              </w:rPr>
              <w:t>持</w:t>
            </w:r>
          </w:p>
          <w:p>
            <w:pPr>
              <w:spacing w:line="240" w:lineRule="exact"/>
              <w:jc w:val="center"/>
              <w:rPr>
                <w:b/>
                <w:sz w:val="20"/>
              </w:rPr>
            </w:pPr>
            <w:r>
              <w:rPr>
                <w:rFonts w:hint="eastAsia"/>
                <w:b/>
                <w:sz w:val="20"/>
              </w:rPr>
              <w:t>续</w:t>
            </w:r>
          </w:p>
          <w:p>
            <w:pPr>
              <w:spacing w:line="240" w:lineRule="exact"/>
              <w:jc w:val="center"/>
              <w:rPr>
                <w:b/>
                <w:sz w:val="20"/>
              </w:rPr>
            </w:pPr>
            <w:r>
              <w:rPr>
                <w:rFonts w:hint="eastAsia"/>
                <w:b/>
                <w:sz w:val="20"/>
              </w:rPr>
              <w:t>改</w:t>
            </w:r>
          </w:p>
          <w:p>
            <w:pPr>
              <w:spacing w:line="240" w:lineRule="exact"/>
              <w:jc w:val="center"/>
              <w:rPr>
                <w:b/>
                <w:sz w:val="20"/>
              </w:rPr>
            </w:pPr>
            <w:r>
              <w:rPr>
                <w:rFonts w:hint="eastAsia"/>
                <w:b/>
                <w:sz w:val="20"/>
              </w:rPr>
              <w:t>进</w:t>
            </w:r>
          </w:p>
        </w:tc>
        <w:tc>
          <w:tcPr>
            <w:tcW w:w="9198" w:type="dxa"/>
          </w:tcPr>
          <w:p>
            <w:pPr>
              <w:spacing w:line="240" w:lineRule="exact"/>
              <w:rPr>
                <w:b/>
                <w:szCs w:val="21"/>
              </w:rPr>
            </w:pPr>
            <w:r>
              <w:rPr>
                <w:b/>
                <w:szCs w:val="21"/>
              </w:rPr>
              <w:t xml:space="preserve">1 </w:t>
            </w:r>
            <w:r>
              <w:rPr>
                <w:rFonts w:hint="eastAsia"/>
                <w:b/>
                <w:szCs w:val="21"/>
              </w:rPr>
              <w:t>纠正措施的实施及效果</w:t>
            </w:r>
            <w:r>
              <w:rPr>
                <w:b/>
                <w:spacing w:val="-8"/>
                <w:szCs w:val="21"/>
              </w:rPr>
              <w:t>;</w:t>
            </w:r>
          </w:p>
          <w:p>
            <w:pPr>
              <w:spacing w:line="400" w:lineRule="exact"/>
              <w:ind w:firstLine="480" w:firstLineChars="200"/>
              <w:rPr>
                <w:rFonts w:ascii="宋体" w:hAnsi="宋体"/>
                <w:szCs w:val="21"/>
              </w:rPr>
            </w:pPr>
            <w:r>
              <w:rPr>
                <w:rFonts w:hint="eastAsia" w:ascii="宋体" w:hAnsi="宋体" w:cs="宋体"/>
                <w:color w:val="000000" w:themeColor="text1"/>
                <w:szCs w:val="24"/>
              </w:rPr>
              <w:t>公司明确通过对内、外审核结果、管理评审输出、监测和测量等活动中识别出</w:t>
            </w:r>
            <w:r>
              <w:rPr>
                <w:rFonts w:hint="eastAsia" w:ascii="宋体" w:hAnsi="宋体"/>
                <w:color w:val="000000" w:themeColor="text1"/>
                <w:szCs w:val="24"/>
              </w:rPr>
              <w:t>在产品/服务、过程、管理体系等方面</w:t>
            </w:r>
            <w:r>
              <w:rPr>
                <w:rFonts w:hint="eastAsia" w:ascii="宋体" w:hAnsi="宋体" w:cs="宋体"/>
                <w:color w:val="000000" w:themeColor="text1"/>
                <w:szCs w:val="24"/>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ind w:firstLine="482" w:firstLineChars="200"/>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pPr>
              <w:spacing w:line="240" w:lineRule="exact"/>
              <w:rPr>
                <w:b/>
                <w:spacing w:val="-20"/>
                <w:szCs w:val="21"/>
              </w:rPr>
            </w:pPr>
            <w:r>
              <w:rPr>
                <w:rFonts w:hint="eastAsia"/>
                <w:b/>
                <w:spacing w:val="-20"/>
                <w:szCs w:val="21"/>
              </w:rPr>
              <w:t>无</w:t>
            </w:r>
          </w:p>
          <w:p>
            <w:pPr>
              <w:spacing w:line="24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20" w:type="dxa"/>
            <w:vMerge w:val="restart"/>
            <w:vAlign w:val="center"/>
          </w:tcPr>
          <w:p>
            <w:pPr>
              <w:spacing w:line="240" w:lineRule="exact"/>
              <w:jc w:val="center"/>
              <w:rPr>
                <w:b/>
                <w:sz w:val="20"/>
              </w:rPr>
            </w:pPr>
          </w:p>
        </w:tc>
        <w:tc>
          <w:tcPr>
            <w:tcW w:w="9198" w:type="dxa"/>
          </w:tcPr>
          <w:p>
            <w:pPr>
              <w:numPr>
                <w:ilvl w:val="0"/>
                <w:numId w:val="1"/>
              </w:numPr>
              <w:spacing w:line="240" w:lineRule="exact"/>
              <w:ind w:left="100" w:hanging="100" w:hangingChars="50"/>
              <w:rPr>
                <w:b/>
                <w:spacing w:val="-20"/>
                <w:szCs w:val="21"/>
              </w:rPr>
            </w:pPr>
            <w:r>
              <w:rPr>
                <w:rFonts w:hint="eastAsia"/>
                <w:b/>
                <w:spacing w:val="-20"/>
                <w:szCs w:val="21"/>
              </w:rPr>
              <w:t>创新情况</w:t>
            </w:r>
          </w:p>
          <w:p>
            <w:pPr>
              <w:spacing w:line="240" w:lineRule="exact"/>
              <w:ind w:left="-120" w:leftChars="-50"/>
              <w:rPr>
                <w:b/>
                <w:spacing w:val="-20"/>
                <w:szCs w:val="21"/>
              </w:rPr>
            </w:pPr>
            <w:r>
              <w:rPr>
                <w:rFonts w:hint="eastAsia"/>
                <w:b/>
                <w:spacing w:val="-20"/>
                <w:szCs w:val="21"/>
              </w:rPr>
              <w:t>无</w:t>
            </w:r>
          </w:p>
          <w:p>
            <w:pPr>
              <w:spacing w:line="240" w:lineRule="exact"/>
              <w:ind w:left="-120" w:leftChars="-50"/>
              <w:rPr>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720" w:type="dxa"/>
            <w:vMerge w:val="continue"/>
            <w:vAlign w:val="center"/>
          </w:tcPr>
          <w:p>
            <w:pPr>
              <w:spacing w:line="240" w:lineRule="exact"/>
              <w:jc w:val="center"/>
              <w:rPr>
                <w:b/>
                <w:sz w:val="20"/>
              </w:rPr>
            </w:pPr>
          </w:p>
        </w:tc>
        <w:tc>
          <w:tcPr>
            <w:tcW w:w="9198" w:type="dxa"/>
          </w:tcPr>
          <w:p>
            <w:pPr>
              <w:numPr>
                <w:ilvl w:val="0"/>
                <w:numId w:val="1"/>
              </w:numPr>
              <w:spacing w:line="240" w:lineRule="exact"/>
              <w:ind w:left="120" w:hanging="120" w:hangingChars="50"/>
              <w:rPr>
                <w:b/>
                <w:szCs w:val="21"/>
              </w:rPr>
            </w:pPr>
            <w:r>
              <w:rPr>
                <w:rFonts w:hint="eastAsia"/>
                <w:b/>
                <w:szCs w:val="21"/>
              </w:rPr>
              <w:t>上次不符合的整改情况</w:t>
            </w:r>
          </w:p>
          <w:p>
            <w:pPr>
              <w:spacing w:line="240" w:lineRule="exact"/>
              <w:ind w:left="-120" w:leftChars="-50"/>
              <w:rPr>
                <w:b/>
                <w:color w:val="FF0000"/>
                <w:szCs w:val="21"/>
              </w:rPr>
            </w:pPr>
            <w:r>
              <w:rPr>
                <w:rFonts w:hint="eastAsia"/>
                <w:b/>
                <w:color w:val="auto"/>
                <w:szCs w:val="21"/>
              </w:rPr>
              <w:t>上次不符合为S4.4.6，经本次审核验证均整改且无类似不符合情况出现。</w:t>
            </w:r>
          </w:p>
        </w:tc>
      </w:tr>
    </w:tbl>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firstLine="221" w:firstLineChars="100"/>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hAnsi="宋体"/>
          <w:b/>
          <w:szCs w:val="21"/>
        </w:rPr>
      </w:pPr>
      <w:r>
        <w:rPr>
          <w:rFonts w:hint="eastAsia"/>
          <w:b/>
          <w:spacing w:val="-10"/>
          <w:szCs w:val="21"/>
        </w:rPr>
        <w:t>□未</w:t>
      </w:r>
      <w:r>
        <w:rPr>
          <w:rFonts w:hint="eastAsia" w:ascii="宋体" w:hAnsi="宋体"/>
          <w:b/>
          <w:szCs w:val="21"/>
        </w:rPr>
        <w:t>达到审核目的，未达到目的的原因是：</w:t>
      </w:r>
    </w:p>
    <w:p>
      <w:pPr>
        <w:numPr>
          <w:ilvl w:val="0"/>
          <w:numId w:val="2"/>
        </w:numPr>
        <w:snapToGrid w:val="0"/>
        <w:spacing w:line="360" w:lineRule="auto"/>
        <w:ind w:left="-211" w:leftChars="-88" w:firstLine="582" w:firstLineChars="223"/>
        <w:rPr>
          <w:b/>
          <w:sz w:val="26"/>
          <w:szCs w:val="26"/>
        </w:rPr>
      </w:pPr>
      <w:r>
        <w:rPr>
          <w:rFonts w:hint="eastAsia"/>
          <w:b/>
          <w:sz w:val="26"/>
          <w:szCs w:val="26"/>
        </w:rPr>
        <w:t>本次审核不符合项</w:t>
      </w:r>
    </w:p>
    <w:p>
      <w:pPr>
        <w:snapToGrid w:val="0"/>
        <w:spacing w:line="360" w:lineRule="auto"/>
        <w:ind w:left="-211" w:leftChars="-88" w:firstLine="537" w:firstLineChars="223"/>
        <w:rPr>
          <w:rFonts w:ascii="宋体" w:hAnsi="宋体"/>
          <w:b/>
          <w:color w:val="auto"/>
          <w:szCs w:val="21"/>
        </w:rPr>
      </w:pPr>
      <w:r>
        <w:rPr>
          <w:rFonts w:hint="eastAsia" w:ascii="宋体" w:hAnsi="宋体"/>
          <w:b/>
          <w:color w:val="auto"/>
          <w:szCs w:val="21"/>
        </w:rPr>
        <w:t>本</w:t>
      </w:r>
      <w:r>
        <w:rPr>
          <w:rFonts w:hint="eastAsia"/>
          <w:b/>
          <w:color w:val="auto"/>
          <w:sz w:val="26"/>
          <w:szCs w:val="26"/>
        </w:rPr>
        <w:t>次审核共开具不符合项报告1项；其中</w:t>
      </w:r>
      <w:r>
        <w:rPr>
          <w:b/>
          <w:color w:val="auto"/>
          <w:sz w:val="26"/>
          <w:szCs w:val="26"/>
        </w:rPr>
        <w:pict>
          <v:line id="直接连接符 1" o:spid="_x0000_s1032" o:spt="20" style="position:absolute;left:0pt;margin-left:210pt;margin-top:16.2pt;height:0pt;width:0.05pt;z-index:251662336;mso-width-relative:page;mso-height-relative:page;" coordsize="21600,21600" o:allowincell="f">
            <v:path arrowok="t"/>
            <v:fill focussize="0,0"/>
            <v:stroke/>
            <v:imagedata o:title=""/>
            <o:lock v:ext="edit"/>
          </v:line>
        </w:pict>
      </w:r>
      <w:r>
        <w:rPr>
          <w:rFonts w:hint="eastAsia"/>
          <w:b/>
          <w:color w:val="auto"/>
          <w:sz w:val="26"/>
          <w:szCs w:val="26"/>
        </w:rPr>
        <w:t>严重不符合 0项，一般不符合 1项，观察项0项。不符合项分布在</w:t>
      </w:r>
      <w:r>
        <w:rPr>
          <w:rFonts w:hint="eastAsia"/>
          <w:b/>
          <w:color w:val="auto"/>
          <w:sz w:val="26"/>
          <w:szCs w:val="26"/>
          <w:lang w:eastAsia="zh-CN"/>
        </w:rPr>
        <w:t>生产</w:t>
      </w:r>
      <w:r>
        <w:rPr>
          <w:rFonts w:hint="eastAsia"/>
          <w:b/>
          <w:color w:val="auto"/>
          <w:sz w:val="26"/>
          <w:szCs w:val="26"/>
        </w:rPr>
        <w:t>部部门S4.</w:t>
      </w:r>
      <w:r>
        <w:rPr>
          <w:rFonts w:hint="eastAsia"/>
          <w:b/>
          <w:color w:val="auto"/>
          <w:sz w:val="26"/>
          <w:szCs w:val="26"/>
          <w:lang w:val="en-US" w:eastAsia="zh-CN"/>
        </w:rPr>
        <w:t>4</w:t>
      </w:r>
      <w:r>
        <w:rPr>
          <w:rFonts w:hint="eastAsia"/>
          <w:b/>
          <w:color w:val="auto"/>
          <w:sz w:val="26"/>
          <w:szCs w:val="26"/>
        </w:rPr>
        <w:t>.</w:t>
      </w:r>
      <w:r>
        <w:rPr>
          <w:rFonts w:hint="eastAsia"/>
          <w:b/>
          <w:color w:val="auto"/>
          <w:sz w:val="26"/>
          <w:szCs w:val="26"/>
          <w:lang w:val="en-US" w:eastAsia="zh-CN"/>
        </w:rPr>
        <w:t>7</w:t>
      </w:r>
      <w:r>
        <w:rPr>
          <w:rFonts w:hint="eastAsia"/>
          <w:b/>
          <w:color w:val="auto"/>
          <w:sz w:val="26"/>
          <w:szCs w:val="26"/>
        </w:rPr>
        <w:t xml:space="preserve"> 条款，见不符合</w:t>
      </w:r>
      <w:r>
        <w:rPr>
          <w:rFonts w:hint="eastAsia" w:ascii="宋体" w:hAnsi="宋体"/>
          <w:b/>
          <w:color w:val="auto"/>
          <w:szCs w:val="21"/>
        </w:rPr>
        <w:t>项分布表。（Q/J/E/S分开填写）</w:t>
      </w:r>
    </w:p>
    <w:p>
      <w:pPr>
        <w:numPr>
          <w:ilvl w:val="0"/>
          <w:numId w:val="3"/>
        </w:numPr>
        <w:tabs>
          <w:tab w:val="left" w:pos="645"/>
        </w:tabs>
        <w:spacing w:afterLines="50" w:line="360" w:lineRule="exact"/>
        <w:rPr>
          <w:b/>
          <w:sz w:val="26"/>
          <w:szCs w:val="26"/>
        </w:rPr>
      </w:pPr>
      <w:r>
        <w:rPr>
          <w:rFonts w:hint="eastAsia"/>
          <w:b/>
          <w:sz w:val="26"/>
          <w:szCs w:val="26"/>
        </w:rPr>
        <w:t>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jc w:val="center"/>
        </w:trPr>
        <w:tc>
          <w:tcPr>
            <w:tcW w:w="9523" w:type="dxa"/>
            <w:vAlign w:val="center"/>
          </w:tcPr>
          <w:p>
            <w:pPr>
              <w:ind w:left="240" w:leftChars="100" w:firstLine="131" w:firstLineChars="50"/>
              <w:jc w:val="left"/>
              <w:rPr>
                <w:rFonts w:asciiTheme="minorEastAsia" w:hAnsiTheme="minorEastAsia" w:eastAsiaTheme="minorEastAsia"/>
                <w:sz w:val="21"/>
                <w:szCs w:val="21"/>
              </w:rPr>
            </w:pPr>
            <w:r>
              <w:rPr>
                <w:b/>
                <w:sz w:val="26"/>
                <w:szCs w:val="26"/>
              </w:rPr>
              <w:t>1.</w:t>
            </w:r>
            <w:r>
              <w:rPr>
                <w:rFonts w:hint="eastAsia"/>
                <w:b/>
                <w:sz w:val="26"/>
                <w:szCs w:val="26"/>
              </w:rPr>
              <w:t>□</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□50430</w:t>
            </w:r>
          </w:p>
          <w:p>
            <w:pPr>
              <w:spacing w:line="280" w:lineRule="exact"/>
              <w:rPr>
                <w:b/>
                <w:sz w:val="26"/>
                <w:szCs w:val="26"/>
              </w:rPr>
            </w:pPr>
            <w:r>
              <w:rPr>
                <w:rFonts w:hint="eastAsia"/>
                <w:b/>
                <w:sz w:val="26"/>
                <w:szCs w:val="26"/>
              </w:rPr>
              <w:t>的适宜性、充分性、运行有效性，自我完善机制等，管理体系满足适用要求和实现预期结果的能力。</w:t>
            </w:r>
          </w:p>
          <w:p>
            <w:pPr>
              <w:tabs>
                <w:tab w:val="left" w:pos="2552"/>
              </w:tabs>
              <w:spacing w:beforeLines="50" w:afterLines="50" w:line="280" w:lineRule="exact"/>
              <w:ind w:firstLine="480" w:firstLineChars="200"/>
              <w:rPr>
                <w:b/>
                <w:sz w:val="26"/>
                <w:szCs w:val="26"/>
              </w:rPr>
            </w:pPr>
            <w:r>
              <w:rPr>
                <w:rFonts w:hint="eastAsia" w:ascii="微软雅黑" w:hAnsi="微软雅黑" w:eastAsia="微软雅黑"/>
                <w:bCs/>
                <w:szCs w:val="24"/>
              </w:rPr>
              <w:t>综上所述，审核组一致认为（</w:t>
            </w:r>
            <w:r>
              <w:rPr>
                <w:rFonts w:hint="eastAsia" w:ascii="宋体" w:hAnsi="宋体"/>
                <w:caps/>
                <w:szCs w:val="21"/>
              </w:rPr>
              <w:t>重庆成瑞光电科技有限公司</w:t>
            </w:r>
            <w:r>
              <w:rPr>
                <w:rFonts w:hint="eastAsia" w:ascii="微软雅黑" w:hAnsi="微软雅黑" w:eastAsia="微软雅黑"/>
                <w:bCs/>
                <w:szCs w:val="24"/>
              </w:rPr>
              <w:t>）的质量管理体系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b/>
                <w:sz w:val="26"/>
                <w:szCs w:val="26"/>
              </w:rPr>
            </w:pPr>
            <w:r>
              <w:rPr>
                <w:b/>
                <w:sz w:val="26"/>
                <w:szCs w:val="26"/>
              </w:rPr>
              <w:t xml:space="preserve">2. </w:t>
            </w:r>
            <w:r>
              <w:rPr>
                <w:rFonts w:hint="eastAsia"/>
                <w:b/>
                <w:sz w:val="26"/>
                <w:szCs w:val="26"/>
              </w:rPr>
              <w:t>审核组推荐意见：</w:t>
            </w:r>
          </w:p>
          <w:p>
            <w:pPr>
              <w:ind w:left="240" w:leftChars="100" w:firstLine="131" w:firstLineChars="50"/>
              <w:jc w:val="left"/>
              <w:rPr>
                <w:b/>
                <w:sz w:val="26"/>
                <w:szCs w:val="26"/>
              </w:rPr>
            </w:pPr>
            <w:r>
              <w:rPr>
                <w:rFonts w:hint="eastAsia"/>
                <w:b/>
                <w:sz w:val="26"/>
                <w:szCs w:val="26"/>
              </w:rPr>
              <w:t>■</w:t>
            </w:r>
            <w:r>
              <w:rPr>
                <w:b/>
                <w:sz w:val="26"/>
                <w:szCs w:val="26"/>
              </w:rPr>
              <w:t>(</w:t>
            </w:r>
            <w:r>
              <w:rPr>
                <w:rFonts w:hint="eastAsia"/>
                <w:b/>
                <w:sz w:val="26"/>
                <w:szCs w:val="26"/>
              </w:rPr>
              <w:t>在完成纠正措施后</w:t>
            </w:r>
            <w:r>
              <w:rPr>
                <w:b/>
                <w:sz w:val="26"/>
                <w:szCs w:val="26"/>
              </w:rPr>
              <w:t>)</w:t>
            </w:r>
            <w:r>
              <w:rPr>
                <w:rFonts w:hint="eastAsia"/>
                <w:b/>
                <w:sz w:val="26"/>
                <w:szCs w:val="26"/>
              </w:rPr>
              <w:t>推荐保持（□</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p>
          <w:p>
            <w:pPr>
              <w:spacing w:line="280" w:lineRule="exact"/>
              <w:ind w:left="6161" w:leftChars="120" w:hanging="5873" w:hangingChars="2250"/>
              <w:rPr>
                <w:rFonts w:asciiTheme="minorEastAsia" w:hAnsiTheme="minorEastAsia" w:eastAsiaTheme="minorEastAsia"/>
                <w:sz w:val="21"/>
                <w:szCs w:val="21"/>
              </w:rPr>
            </w:pPr>
            <w:r>
              <w:rPr>
                <w:rFonts w:hint="eastAsia"/>
                <w:b/>
                <w:sz w:val="26"/>
                <w:szCs w:val="26"/>
              </w:rPr>
              <w:t>□50430）换发证书</w:t>
            </w:r>
          </w:p>
          <w:p>
            <w:pPr>
              <w:spacing w:line="280" w:lineRule="exact"/>
              <w:ind w:firstLine="392" w:firstLineChars="150"/>
              <w:rPr>
                <w:b/>
                <w:sz w:val="26"/>
                <w:szCs w:val="26"/>
              </w:rPr>
            </w:pPr>
            <w:r>
              <w:rPr>
                <w:rFonts w:hint="eastAsia"/>
                <w:b/>
                <w:sz w:val="26"/>
                <w:szCs w:val="26"/>
              </w:rPr>
              <w:t>□延期推荐（□</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□50430）</w:t>
            </w:r>
          </w:p>
          <w:p>
            <w:pPr>
              <w:spacing w:line="280" w:lineRule="exact"/>
              <w:ind w:firstLine="392" w:firstLineChars="150"/>
              <w:rPr>
                <w:b/>
                <w:sz w:val="26"/>
                <w:szCs w:val="26"/>
              </w:rPr>
            </w:pPr>
            <w:r>
              <w:rPr>
                <w:rFonts w:hint="eastAsia"/>
                <w:b/>
                <w:sz w:val="26"/>
                <w:szCs w:val="26"/>
              </w:rPr>
              <w:t>□不推荐（□</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□50430）</w:t>
            </w:r>
          </w:p>
          <w:p>
            <w:pPr>
              <w:spacing w:line="280" w:lineRule="exact"/>
              <w:ind w:firstLine="392" w:firstLineChars="150"/>
              <w:rPr>
                <w:b/>
                <w:sz w:val="26"/>
                <w:szCs w:val="26"/>
              </w:rPr>
            </w:pPr>
            <w:r>
              <w:rPr>
                <w:rFonts w:hint="eastAsia"/>
                <w:b/>
                <w:sz w:val="26"/>
                <w:szCs w:val="26"/>
              </w:rPr>
              <w:t>延期推荐、不推荐或缩小认证范围的说明</w:t>
            </w:r>
            <w:r>
              <w:rPr>
                <w:b/>
                <w:sz w:val="26"/>
                <w:szCs w:val="26"/>
              </w:rPr>
              <w:t>:</w:t>
            </w:r>
          </w:p>
        </w:tc>
      </w:tr>
    </w:tbl>
    <w:p>
      <w:pPr>
        <w:snapToGrid w:val="0"/>
        <w:spacing w:line="240" w:lineRule="exact"/>
        <w:rPr>
          <w:b/>
          <w:sz w:val="21"/>
          <w:szCs w:val="21"/>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u w:val="single"/>
        </w:rPr>
        <w:t xml:space="preserve">60  </w:t>
      </w:r>
      <w:r>
        <w:rPr>
          <w:rFonts w:hint="eastAsia"/>
          <w:b/>
          <w:sz w:val="21"/>
        </w:rPr>
        <w:t>天针对不符合原因制定并实施纠正措施。验证方式见不符合项报告。</w:t>
      </w:r>
    </w:p>
    <w:p>
      <w:pPr>
        <w:spacing w:beforeLines="50" w:afterLines="50"/>
        <w:ind w:left="-122" w:leftChars="-51" w:firstLine="120" w:firstLineChars="46"/>
        <w:rPr>
          <w:b/>
          <w:sz w:val="26"/>
          <w:szCs w:val="26"/>
        </w:rPr>
      </w:pPr>
      <w:r>
        <w:rPr>
          <w:rFonts w:hint="eastAsia"/>
          <w:b/>
          <w:sz w:val="26"/>
          <w:szCs w:val="26"/>
        </w:rPr>
        <w:t>十一、任何影响审核方案的重要事项：/</w:t>
      </w:r>
    </w:p>
    <w:p>
      <w:pPr>
        <w:tabs>
          <w:tab w:val="left" w:pos="645"/>
        </w:tabs>
        <w:spacing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Lines="50" w:line="320" w:lineRule="exact"/>
        <w:ind w:firstLine="527" w:firstLineChars="250"/>
        <w:rPr>
          <w:b/>
          <w:sz w:val="21"/>
        </w:rPr>
      </w:pPr>
      <w:r>
        <w:rPr>
          <w:rFonts w:hint="eastAsia"/>
          <w:b/>
          <w:sz w:val="21"/>
        </w:rPr>
        <w:t>审核组组员（签名）：</w:t>
      </w:r>
    </w:p>
    <w:p>
      <w:pPr>
        <w:snapToGrid w:val="0"/>
        <w:spacing w:beforeLines="50" w:line="320" w:lineRule="exact"/>
        <w:ind w:firstLine="5376" w:firstLineChars="2550"/>
        <w:rPr>
          <w:b/>
          <w:sz w:val="16"/>
          <w:szCs w:val="16"/>
        </w:rPr>
      </w:pPr>
      <w:r>
        <w:rPr>
          <w:rFonts w:hint="eastAsia"/>
          <w:b/>
          <w:sz w:val="21"/>
        </w:rPr>
        <w:t>日期：</w:t>
      </w: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rFonts w:hint="eastAsia"/>
          <w:b/>
          <w:bCs/>
          <w:sz w:val="21"/>
          <w:szCs w:val="21"/>
        </w:rPr>
        <w:t>1.审核中发现的</w:t>
      </w:r>
      <w:r>
        <w:rPr>
          <w:rFonts w:hint="eastAsia"/>
          <w:b/>
          <w:sz w:val="21"/>
          <w:szCs w:val="21"/>
        </w:rPr>
        <w:t>□</w:t>
      </w:r>
      <w:r>
        <w:rPr>
          <w:rFonts w:hint="eastAsia"/>
          <w:b/>
          <w:bCs/>
          <w:sz w:val="21"/>
          <w:szCs w:val="21"/>
        </w:rPr>
        <w:t xml:space="preserve">QMS/GJB （  ） 个一般不符合，(  </w:t>
      </w:r>
      <w:r>
        <w:rPr>
          <w:b/>
          <w:sz w:val="21"/>
          <w:szCs w:val="21"/>
        </w:rPr>
        <w:t>)</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ascii="MS Mincho" w:hAnsi="MS Mincho" w:cs="MS Mincho"/>
          <w:b/>
          <w:sz w:val="26"/>
          <w:szCs w:val="26"/>
        </w:rPr>
        <w:t>□</w:t>
      </w:r>
      <w:r>
        <w:rPr>
          <w:b/>
          <w:sz w:val="21"/>
          <w:szCs w:val="21"/>
        </w:rPr>
        <w:t>EMS ()</w:t>
      </w:r>
      <w:r>
        <w:rPr>
          <w:rFonts w:hint="eastAsia"/>
          <w:b/>
          <w:sz w:val="21"/>
          <w:szCs w:val="21"/>
        </w:rPr>
        <w:t>个一般不符合，</w:t>
      </w:r>
      <w:r>
        <w:rPr>
          <w:b/>
          <w:sz w:val="21"/>
          <w:szCs w:val="21"/>
        </w:rPr>
        <w:t>()</w:t>
      </w:r>
      <w:r>
        <w:rPr>
          <w:rFonts w:hint="eastAsia"/>
          <w:b/>
          <w:sz w:val="21"/>
          <w:szCs w:val="21"/>
        </w:rPr>
        <w:t>个严重不符合，</w:t>
      </w:r>
      <w:r>
        <w:rPr>
          <w:rFonts w:hint="eastAsia" w:ascii="MS Mincho" w:hAnsi="MS Mincho" w:cs="MS Mincho"/>
          <w:b/>
          <w:sz w:val="21"/>
          <w:szCs w:val="21"/>
        </w:rPr>
        <w:t>□</w:t>
      </w:r>
      <w:r>
        <w:rPr>
          <w:rFonts w:hint="eastAsia"/>
          <w:b/>
          <w:sz w:val="21"/>
          <w:szCs w:val="21"/>
        </w:rPr>
        <w:t>验证合格□仍有问题</w:t>
      </w:r>
    </w:p>
    <w:p>
      <w:pPr>
        <w:spacing w:line="360" w:lineRule="exact"/>
        <w:ind w:left="960" w:leftChars="400"/>
        <w:rPr>
          <w:b/>
          <w:sz w:val="21"/>
          <w:szCs w:val="21"/>
        </w:rPr>
      </w:pPr>
      <w:r>
        <w:rPr>
          <w:rFonts w:hint="eastAsia"/>
          <w:b/>
          <w:bCs/>
          <w:sz w:val="21"/>
          <w:szCs w:val="21"/>
        </w:rPr>
        <w:t>审核中发现的</w:t>
      </w:r>
      <w:r>
        <w:rPr>
          <w:rFonts w:hint="eastAsia" w:ascii="MS Mincho" w:hAnsi="MS Mincho" w:cs="MS Mincho"/>
          <w:b/>
          <w:sz w:val="26"/>
          <w:szCs w:val="26"/>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w:t>
      </w:r>
      <w:r>
        <w:rPr>
          <w:rFonts w:hint="eastAsia" w:ascii="MS Mincho" w:hAnsi="MS Mincho" w:cs="MS Mincho"/>
          <w:b/>
          <w:sz w:val="21"/>
          <w:szCs w:val="21"/>
        </w:rPr>
        <w:t>□</w:t>
      </w:r>
      <w:r>
        <w:rPr>
          <w:rFonts w:hint="eastAsia"/>
          <w:b/>
          <w:sz w:val="21"/>
          <w:szCs w:val="21"/>
        </w:rPr>
        <w:t>验证合格□仍有问题</w:t>
      </w:r>
      <w:r>
        <w:rPr>
          <w:rFonts w:hint="eastAsia"/>
          <w:b/>
          <w:bCs/>
          <w:sz w:val="21"/>
          <w:szCs w:val="21"/>
        </w:rPr>
        <w:t>审核中发现的</w:t>
      </w:r>
      <w:r>
        <w:rPr>
          <w:rFonts w:hint="eastAsia"/>
          <w:b/>
          <w:sz w:val="21"/>
          <w:szCs w:val="21"/>
        </w:rPr>
        <w:t>□50430</w:t>
      </w:r>
      <w:r>
        <w:rPr>
          <w:b/>
          <w:sz w:val="21"/>
          <w:szCs w:val="21"/>
        </w:rPr>
        <w:t xml:space="preserve"> (    )</w:t>
      </w:r>
      <w:r>
        <w:rPr>
          <w:rFonts w:hint="eastAsia"/>
          <w:b/>
          <w:sz w:val="21"/>
          <w:szCs w:val="21"/>
        </w:rPr>
        <w:t>个一般不符合，</w:t>
      </w:r>
      <w:r>
        <w:rPr>
          <w:b/>
          <w:sz w:val="21"/>
          <w:szCs w:val="21"/>
        </w:rPr>
        <w:t>(    )</w:t>
      </w:r>
      <w:r>
        <w:rPr>
          <w:rFonts w:hint="eastAsia"/>
          <w:b/>
          <w:sz w:val="21"/>
          <w:szCs w:val="21"/>
        </w:rPr>
        <w:t>个严重不符合，□验证合格□仍有问题</w:t>
      </w:r>
    </w:p>
    <w:p>
      <w:pPr>
        <w:spacing w:beforeLines="50" w:line="400" w:lineRule="exact"/>
        <w:rPr>
          <w:b/>
          <w:sz w:val="21"/>
          <w:szCs w:val="21"/>
          <w:u w:val="single"/>
        </w:rPr>
      </w:pPr>
      <w:r>
        <w:rPr>
          <w:rFonts w:hint="eastAsia"/>
          <w:b/>
          <w:sz w:val="21"/>
          <w:szCs w:val="21"/>
        </w:rPr>
        <w:t>存在问题说明及意见：无</w:t>
      </w: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spacing w:line="360" w:lineRule="auto"/>
        <w:ind w:left="600"/>
        <w:rPr>
          <w:b/>
          <w:sz w:val="21"/>
          <w:szCs w:val="21"/>
          <w:u w:val="single"/>
        </w:rPr>
      </w:pPr>
      <w:r>
        <w:rPr>
          <w:rFonts w:hint="eastAsia"/>
          <w:b/>
          <w:sz w:val="21"/>
          <w:szCs w:val="21"/>
        </w:rPr>
        <w:t xml:space="preserve">组长签字：               </w:t>
      </w:r>
      <w:r>
        <w:rPr>
          <w:rFonts w:hint="eastAsia"/>
          <w:b/>
          <w:szCs w:val="24"/>
        </w:rPr>
        <w:t>日期：       年   月   日</w:t>
      </w:r>
    </w:p>
    <w:p>
      <w:pPr>
        <w:ind w:left="783" w:hanging="783" w:hangingChars="300"/>
        <w:rPr>
          <w:b/>
          <w:sz w:val="21"/>
          <w:u w:val="single"/>
        </w:rPr>
      </w:pPr>
      <w:r>
        <w:rPr>
          <w:rFonts w:hint="eastAsia"/>
          <w:b/>
          <w:sz w:val="26"/>
          <w:szCs w:val="26"/>
        </w:rPr>
        <w:t>十四、</w:t>
      </w:r>
      <w:r>
        <w:rPr>
          <w:rFonts w:hint="eastAsia"/>
          <w:b/>
          <w:bCs/>
          <w:sz w:val="26"/>
          <w:szCs w:val="26"/>
        </w:rPr>
        <w:t>与末次会议结论不同处的说明和其他说明：（技委会</w:t>
      </w:r>
      <w:r>
        <w:rPr>
          <w:rFonts w:hint="eastAsia"/>
          <w:b/>
          <w:sz w:val="26"/>
          <w:szCs w:val="26"/>
        </w:rPr>
        <w:t>部填写</w:t>
      </w:r>
      <w:r>
        <w:rPr>
          <w:b/>
          <w:sz w:val="26"/>
          <w:szCs w:val="26"/>
        </w:rPr>
        <w:t>)</w:t>
      </w: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 xml:space="preserve">              2</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GJB, EMS</w:t>
      </w:r>
      <w:r>
        <w:rPr>
          <w:rFonts w:hint="eastAsia"/>
          <w:b/>
          <w:sz w:val="21"/>
        </w:rPr>
        <w:t>，</w:t>
      </w:r>
      <w:r>
        <w:rPr>
          <w:b/>
          <w:sz w:val="21"/>
        </w:rPr>
        <w:t>OHSMS</w:t>
      </w:r>
      <w:r>
        <w:rPr>
          <w:rFonts w:hint="eastAsia"/>
          <w:b/>
          <w:sz w:val="21"/>
        </w:rPr>
        <w:t xml:space="preserve"> 50430</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b/>
          <w:sz w:val="21"/>
          <w:szCs w:val="22"/>
        </w:rPr>
      </w:pPr>
      <w:r>
        <w:rPr>
          <w:rFonts w:hint="eastAsia" w:ascii="方正仿宋简体" w:eastAsia="方正仿宋简体"/>
          <w:b/>
        </w:rPr>
        <w:t>十九、</w:t>
      </w:r>
      <w:r>
        <w:rPr>
          <w:rFonts w:hint="eastAsia"/>
          <w:b/>
          <w:sz w:val="21"/>
          <w:szCs w:val="22"/>
        </w:rPr>
        <w:t>审核基于对可获得信息的抽样过程的免责声明：</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
      <w:pPr>
        <w:tabs>
          <w:tab w:val="left" w:pos="645"/>
        </w:tabs>
        <w:spacing w:afterLines="50" w:line="360" w:lineRule="exact"/>
      </w:pPr>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Mincho">
    <w:panose1 w:val="02020609040205080304"/>
    <w:charset w:val="80"/>
    <w:family w:val="modern"/>
    <w:pitch w:val="default"/>
    <w:sig w:usb0="A00002BF" w:usb1="68C7FCFB" w:usb2="00000010" w:usb3="00000000" w:csb0="4002009F" w:csb1="DFD7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7535 0 5023 480 -502 5760 -502 10080 0 15360 502 17280 7535 20640 11051 20640 13563 20640 14567 20640 20093 15360 21098 6240 16074 1440 13060 0 7535 0">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617855"/>
    <w:multiLevelType w:val="singleLevel"/>
    <w:tmpl w:val="A1617855"/>
    <w:lvl w:ilvl="0" w:tentative="0">
      <w:start w:val="9"/>
      <w:numFmt w:val="chineseCounting"/>
      <w:suff w:val="nothing"/>
      <w:lvlText w:val="%1、"/>
      <w:lvlJc w:val="left"/>
      <w:rPr>
        <w:rFonts w:hint="eastAsia"/>
      </w:rPr>
    </w:lvl>
  </w:abstractNum>
  <w:abstractNum w:abstractNumId="1">
    <w:nsid w:val="ED99E1A5"/>
    <w:multiLevelType w:val="singleLevel"/>
    <w:tmpl w:val="ED99E1A5"/>
    <w:lvl w:ilvl="0" w:tentative="0">
      <w:start w:val="2"/>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2C387D0F"/>
    <w:multiLevelType w:val="singleLevel"/>
    <w:tmpl w:val="2C387D0F"/>
    <w:lvl w:ilvl="0" w:tentative="0">
      <w:start w:val="8"/>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C6E94"/>
    <w:rsid w:val="000452AF"/>
    <w:rsid w:val="00B74E28"/>
    <w:rsid w:val="00C97009"/>
    <w:rsid w:val="00D47E36"/>
    <w:rsid w:val="00EC6E94"/>
    <w:rsid w:val="3C1734CD"/>
    <w:rsid w:val="3F690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0"/>
        <o:r id="V:Rule2" type="connector" idref="#_x0000_s103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tabs>
        <w:tab w:val="left" w:pos="709"/>
        <w:tab w:val="left" w:pos="1069"/>
        <w:tab w:val="left" w:pos="2149"/>
      </w:tabs>
      <w:ind w:left="1429" w:right="194"/>
    </w:pPr>
    <w:rPr>
      <w:rFonts w:ascii="楷体_GB2312" w:eastAsia="楷体_GB2312"/>
    </w:rPr>
  </w:style>
  <w:style w:type="paragraph" w:styleId="3">
    <w:name w:val="Balloon Text"/>
    <w:basedOn w:val="1"/>
    <w:link w:val="9"/>
    <w:semiHidden/>
    <w:uiPriority w:val="99"/>
    <w:rPr>
      <w:sz w:val="18"/>
      <w:szCs w:val="18"/>
    </w:rPr>
  </w:style>
  <w:style w:type="paragraph" w:styleId="4">
    <w:name w:val="footer"/>
    <w:basedOn w:val="1"/>
    <w:link w:val="10"/>
    <w:semiHidden/>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占位符文本1"/>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1098</Words>
  <Characters>6265</Characters>
  <Lines>52</Lines>
  <Paragraphs>14</Paragraphs>
  <TotalTime>3</TotalTime>
  <ScaleCrop>false</ScaleCrop>
  <LinksUpToDate>false</LinksUpToDate>
  <CharactersWithSpaces>7349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Dell</cp:lastModifiedBy>
  <cp:lastPrinted>2019-04-18T08:15:00Z</cp:lastPrinted>
  <dcterms:modified xsi:type="dcterms:W3CDTF">2019-11-29T07:44:58Z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