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eastAsia" w:eastAsia="宋体"/>
                <w:sz w:val="24"/>
                <w:szCs w:val="24"/>
                <w:lang w:eastAsia="zh-CN"/>
              </w:rPr>
            </w:pPr>
            <w:r>
              <w:rPr>
                <w:rFonts w:hint="eastAsia"/>
                <w:sz w:val="24"/>
                <w:szCs w:val="24"/>
              </w:rPr>
              <w:t>受审</w:t>
            </w:r>
            <w:r>
              <w:rPr>
                <w:rFonts w:hint="eastAsia" w:ascii="Times New Roman" w:hAnsi="Times New Roman" w:eastAsia="宋体" w:cs="Times New Roman"/>
                <w:sz w:val="24"/>
                <w:szCs w:val="24"/>
              </w:rPr>
              <w:t>核部门：</w:t>
            </w:r>
            <w:r>
              <w:rPr>
                <w:rFonts w:hint="eastAsia" w:cs="Times New Roman"/>
                <w:sz w:val="24"/>
                <w:szCs w:val="24"/>
                <w:lang w:eastAsia="zh-CN"/>
              </w:rPr>
              <w:t>业务部</w:t>
            </w:r>
            <w:r>
              <w:rPr>
                <w:rFonts w:hint="eastAsia" w:ascii="Times New Roman" w:hAnsi="Times New Roman" w:eastAsia="宋体" w:cs="Times New Roman"/>
                <w:sz w:val="24"/>
                <w:szCs w:val="24"/>
              </w:rPr>
              <w:t xml:space="preserve">   主管领导：</w:t>
            </w:r>
            <w:r>
              <w:rPr>
                <w:rFonts w:hint="eastAsia" w:cs="Times New Roman"/>
                <w:sz w:val="24"/>
                <w:szCs w:val="24"/>
                <w:lang w:eastAsia="zh-CN"/>
              </w:rPr>
              <w:t>王浩</w:t>
            </w:r>
            <w:r>
              <w:rPr>
                <w:rFonts w:hint="eastAsia" w:ascii="Times New Roman" w:hAnsi="Times New Roman" w:eastAsia="宋体" w:cs="Times New Roman"/>
                <w:sz w:val="24"/>
                <w:szCs w:val="24"/>
              </w:rPr>
              <w:t xml:space="preserve">     陪同人员：</w:t>
            </w:r>
            <w:r>
              <w:rPr>
                <w:rFonts w:hint="eastAsia" w:cs="Times New Roman"/>
                <w:sz w:val="24"/>
                <w:szCs w:val="24"/>
                <w:lang w:eastAsia="zh-CN"/>
              </w:rPr>
              <w:t>李霞</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rPr>
                <w:rFonts w:hint="default" w:eastAsia="宋体"/>
                <w:lang w:val="en-US" w:eastAsia="zh-CN"/>
              </w:rPr>
            </w:pPr>
            <w:r>
              <w:rPr>
                <w:rFonts w:hint="eastAsia"/>
                <w:sz w:val="24"/>
                <w:szCs w:val="24"/>
              </w:rPr>
              <w:t>审</w:t>
            </w:r>
            <w:r>
              <w:rPr>
                <w:rFonts w:hint="eastAsia" w:eastAsia="宋体"/>
                <w:sz w:val="24"/>
                <w:szCs w:val="24"/>
              </w:rPr>
              <w:t>核员：</w:t>
            </w:r>
            <w:r>
              <w:rPr>
                <w:rFonts w:hint="eastAsia" w:eastAsia="宋体"/>
                <w:sz w:val="24"/>
                <w:szCs w:val="24"/>
                <w:lang w:val="en-US" w:eastAsia="zh-CN"/>
              </w:rPr>
              <w:t>郭力、</w:t>
            </w:r>
            <w:r>
              <w:rPr>
                <w:rFonts w:hint="eastAsia" w:eastAsia="宋体"/>
                <w:sz w:val="24"/>
                <w:szCs w:val="24"/>
                <w:lang w:val="de-DE"/>
              </w:rPr>
              <w:t>曾正</w:t>
            </w:r>
            <w:r>
              <w:rPr>
                <w:rFonts w:hint="eastAsia" w:eastAsia="宋体"/>
                <w:sz w:val="24"/>
                <w:szCs w:val="24"/>
                <w:lang w:val="de-DE" w:eastAsia="zh-CN"/>
              </w:rPr>
              <w:t>、</w:t>
            </w:r>
            <w:r>
              <w:rPr>
                <w:rFonts w:hint="eastAsia" w:eastAsia="宋体"/>
                <w:sz w:val="24"/>
                <w:szCs w:val="24"/>
                <w:lang w:val="de-DE"/>
              </w:rPr>
              <w:t>范治康</w:t>
            </w:r>
            <w:r>
              <w:rPr>
                <w:rFonts w:hint="eastAsia" w:eastAsia="宋体"/>
                <w:sz w:val="24"/>
                <w:szCs w:val="24"/>
              </w:rPr>
              <w:t xml:space="preserve">     审核时间：</w:t>
            </w:r>
            <w:r>
              <w:rPr>
                <w:rFonts w:hint="eastAsia" w:eastAsia="宋体"/>
                <w:sz w:val="24"/>
                <w:szCs w:val="24"/>
                <w:lang w:eastAsia="zh-CN"/>
              </w:rPr>
              <w:t>202</w:t>
            </w:r>
            <w:r>
              <w:rPr>
                <w:rFonts w:hint="eastAsia" w:eastAsia="宋体"/>
                <w:sz w:val="24"/>
                <w:szCs w:val="24"/>
                <w:lang w:val="en-US" w:eastAsia="zh-CN"/>
              </w:rPr>
              <w:t>2</w:t>
            </w:r>
            <w:r>
              <w:rPr>
                <w:rFonts w:hint="eastAsia" w:eastAsia="宋体"/>
                <w:sz w:val="24"/>
                <w:szCs w:val="24"/>
              </w:rPr>
              <w:t>.</w:t>
            </w:r>
            <w:r>
              <w:rPr>
                <w:rFonts w:hint="eastAsia" w:eastAsia="宋体"/>
                <w:sz w:val="24"/>
                <w:szCs w:val="24"/>
                <w:lang w:val="en-US" w:eastAsia="zh-CN"/>
              </w:rPr>
              <w:t>1.6</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line="360" w:lineRule="auto"/>
              <w:rPr>
                <w:rFonts w:hint="eastAsia" w:eastAsia="宋体"/>
                <w:sz w:val="24"/>
                <w:szCs w:val="24"/>
              </w:rPr>
            </w:pPr>
            <w:r>
              <w:rPr>
                <w:rFonts w:hint="eastAsia"/>
                <w:sz w:val="24"/>
                <w:szCs w:val="24"/>
              </w:rPr>
              <w:t>审核</w:t>
            </w:r>
            <w:r>
              <w:rPr>
                <w:rFonts w:hint="eastAsia" w:eastAsia="宋体"/>
                <w:sz w:val="24"/>
                <w:szCs w:val="24"/>
              </w:rPr>
              <w:t>条款：</w:t>
            </w:r>
          </w:p>
          <w:p>
            <w:pPr>
              <w:spacing w:line="360" w:lineRule="auto"/>
              <w:rPr>
                <w:sz w:val="24"/>
                <w:szCs w:val="24"/>
              </w:rPr>
            </w:pPr>
            <w:r>
              <w:rPr>
                <w:rFonts w:hint="eastAsia" w:eastAsia="宋体"/>
                <w:sz w:val="24"/>
                <w:szCs w:val="24"/>
              </w:rPr>
              <w:t>E:5.3组织的角色、职责和权限、6.1.2环境因素；6.2目标及其达成的策划；8.1运行策划和控制；8.2应急准备和响应</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pPr>
            <w:r>
              <w:rPr>
                <w:rFonts w:hint="eastAsia"/>
                <w:szCs w:val="21"/>
              </w:rPr>
              <w:t>组织的岗位、职责权限</w:t>
            </w:r>
          </w:p>
        </w:tc>
        <w:tc>
          <w:tcPr>
            <w:tcW w:w="960" w:type="dxa"/>
          </w:tcPr>
          <w:p>
            <w:pPr>
              <w:spacing w:line="360" w:lineRule="auto"/>
              <w:rPr>
                <w:szCs w:val="21"/>
              </w:rPr>
            </w:pPr>
            <w:r>
              <w:rPr>
                <w:rFonts w:hint="eastAsia"/>
                <w:szCs w:val="21"/>
              </w:rPr>
              <w:t>E5.3</w:t>
            </w:r>
          </w:p>
          <w:p>
            <w:pPr>
              <w:spacing w:line="360" w:lineRule="auto"/>
              <w:rPr>
                <w:szCs w:val="21"/>
              </w:rPr>
            </w:pPr>
          </w:p>
          <w:p>
            <w:pPr>
              <w:spacing w:line="360" w:lineRule="auto"/>
            </w:pPr>
          </w:p>
        </w:tc>
        <w:tc>
          <w:tcPr>
            <w:tcW w:w="10004" w:type="dxa"/>
          </w:tcPr>
          <w:p>
            <w:pPr>
              <w:spacing w:line="360" w:lineRule="auto"/>
              <w:ind w:left="422" w:leftChars="201" w:right="422" w:rightChars="201" w:firstLine="2"/>
              <w:rPr>
                <w:rFonts w:ascii="宋体"/>
                <w:color w:val="000000"/>
                <w:szCs w:val="21"/>
              </w:rPr>
            </w:pPr>
            <w:r>
              <w:rPr>
                <w:rFonts w:ascii="宋体" w:hAnsi="宋体"/>
                <w:color w:val="000000"/>
                <w:szCs w:val="21"/>
              </w:rPr>
              <w:t>1.</w:t>
            </w:r>
            <w:r>
              <w:rPr>
                <w:rFonts w:ascii="宋体" w:hAnsi="宋体"/>
                <w:szCs w:val="21"/>
              </w:rPr>
              <w:t xml:space="preserve"> </w:t>
            </w:r>
            <w:r>
              <w:rPr>
                <w:rFonts w:hint="eastAsia" w:ascii="宋体" w:hAnsi="宋体"/>
                <w:szCs w:val="21"/>
              </w:rPr>
              <w:t>负责本部门所属重要环境因素的管理</w:t>
            </w:r>
          </w:p>
          <w:p>
            <w:pPr>
              <w:spacing w:line="360" w:lineRule="auto"/>
              <w:ind w:left="422" w:leftChars="201" w:right="422" w:rightChars="201" w:firstLine="2"/>
              <w:rPr>
                <w:rFonts w:ascii="宋体"/>
                <w:color w:val="000000"/>
                <w:szCs w:val="21"/>
              </w:rPr>
            </w:pPr>
            <w:r>
              <w:rPr>
                <w:rFonts w:ascii="宋体" w:hAnsi="宋体"/>
                <w:color w:val="000000"/>
                <w:szCs w:val="21"/>
              </w:rPr>
              <w:t>2.</w:t>
            </w:r>
            <w:r>
              <w:rPr>
                <w:rFonts w:ascii="宋体" w:hAnsi="宋体"/>
                <w:szCs w:val="21"/>
              </w:rPr>
              <w:t xml:space="preserve"> </w:t>
            </w:r>
            <w:r>
              <w:rPr>
                <w:rFonts w:hint="eastAsia" w:ascii="宋体" w:hAnsi="宋体"/>
                <w:szCs w:val="21"/>
              </w:rPr>
              <w:t>负责建立并实施客户环境要求内部反馈流程并负责了解顾客有关环境方面的期望及将客户的环境要求有效传递至公司内部并实施。</w:t>
            </w:r>
          </w:p>
          <w:p>
            <w:pPr>
              <w:spacing w:line="360" w:lineRule="auto"/>
              <w:ind w:left="422" w:leftChars="201" w:right="422" w:rightChars="201" w:firstLine="2"/>
              <w:rPr>
                <w:rFonts w:ascii="宋体"/>
                <w:color w:val="000000"/>
                <w:szCs w:val="21"/>
              </w:rPr>
            </w:pPr>
            <w:r>
              <w:rPr>
                <w:rFonts w:ascii="宋体" w:hAnsi="宋体"/>
                <w:color w:val="000000"/>
                <w:szCs w:val="21"/>
              </w:rPr>
              <w:t>3</w:t>
            </w:r>
            <w:r>
              <w:rPr>
                <w:rFonts w:ascii="宋体"/>
                <w:color w:val="000000"/>
                <w:szCs w:val="21"/>
              </w:rPr>
              <w:t>.</w:t>
            </w:r>
            <w:r>
              <w:rPr>
                <w:rFonts w:hint="eastAsia" w:ascii="宋体" w:hAnsi="宋体"/>
                <w:color w:val="000000"/>
                <w:szCs w:val="21"/>
              </w:rPr>
              <w:t>负责部门环境因素识别并执行公司环境管理方案</w:t>
            </w:r>
          </w:p>
          <w:p>
            <w:pPr>
              <w:spacing w:line="360" w:lineRule="auto"/>
              <w:ind w:left="422" w:leftChars="201" w:right="422" w:rightChars="201" w:firstLine="2"/>
              <w:rPr>
                <w:rFonts w:ascii="宋体" w:hAnsi="宋体"/>
                <w:szCs w:val="21"/>
              </w:rPr>
            </w:pPr>
            <w:r>
              <w:rPr>
                <w:rFonts w:hint="eastAsia" w:ascii="宋体" w:hAnsi="宋体"/>
                <w:color w:val="000000"/>
                <w:szCs w:val="21"/>
              </w:rPr>
              <w:t>4</w:t>
            </w:r>
            <w:r>
              <w:rPr>
                <w:rFonts w:ascii="宋体" w:hAnsi="宋体"/>
                <w:color w:val="000000"/>
                <w:szCs w:val="21"/>
              </w:rPr>
              <w:t>.</w:t>
            </w:r>
            <w:r>
              <w:rPr>
                <w:rFonts w:ascii="宋体" w:hAnsi="宋体"/>
                <w:szCs w:val="21"/>
              </w:rPr>
              <w:t xml:space="preserve"> </w:t>
            </w:r>
            <w:r>
              <w:rPr>
                <w:rFonts w:hint="eastAsia" w:ascii="宋体" w:hAnsi="宋体"/>
                <w:szCs w:val="21"/>
              </w:rPr>
              <w:t>负责实施对合格供应商的环境影响和监督检查</w:t>
            </w:r>
          </w:p>
          <w:p>
            <w:pPr>
              <w:spacing w:line="360" w:lineRule="auto"/>
              <w:rPr>
                <w:rFonts w:hint="default" w:eastAsia="宋体"/>
                <w:lang w:val="en-US" w:eastAsia="zh-CN"/>
              </w:rPr>
            </w:pPr>
            <w:r>
              <w:rPr>
                <w:rFonts w:hint="eastAsia"/>
                <w:lang w:val="en-US" w:eastAsia="zh-CN"/>
              </w:rPr>
              <w:t>与业务部负责人沟通，对其职责和权限清楚。</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szCs w:val="21"/>
              </w:rPr>
              <w:t>目标和方案</w:t>
            </w:r>
          </w:p>
        </w:tc>
        <w:tc>
          <w:tcPr>
            <w:tcW w:w="960" w:type="dxa"/>
          </w:tcPr>
          <w:p>
            <w:pPr>
              <w:spacing w:line="360" w:lineRule="auto"/>
              <w:rPr>
                <w:szCs w:val="21"/>
              </w:rPr>
            </w:pPr>
            <w:r>
              <w:rPr>
                <w:rFonts w:hint="eastAsia"/>
                <w:szCs w:val="21"/>
              </w:rPr>
              <w:t>E6.2</w:t>
            </w:r>
          </w:p>
          <w:p>
            <w:pPr>
              <w:spacing w:line="360" w:lineRule="auto"/>
            </w:pP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执行《管理手</w:t>
            </w:r>
            <w:r>
              <w:rPr>
                <w:rFonts w:hint="eastAsia" w:ascii="宋体" w:hAnsi="宋体" w:eastAsia="宋体" w:cs="宋体"/>
                <w:szCs w:val="21"/>
              </w:rPr>
              <w:t>册》及《目标完成情况统计表</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部门目标：                         考核情况</w:t>
            </w:r>
          </w:p>
          <w:p>
            <w:pPr>
              <w:ind w:firstLine="420" w:firstLineChars="200"/>
              <w:rPr>
                <w:rFonts w:hint="default" w:ascii="宋体" w:hAnsi="宋体" w:eastAsia="宋体" w:cs="宋体"/>
                <w:szCs w:val="21"/>
                <w:lang w:val="en-US" w:eastAsia="zh-CN"/>
              </w:rPr>
            </w:pPr>
            <w:r>
              <w:rPr>
                <w:rFonts w:hint="eastAsia" w:ascii="宋体" w:hAnsi="宋体" w:cs="宋体"/>
                <w:szCs w:val="21"/>
              </w:rPr>
              <w:t>1、固体废弃物100%分类，合理处理</w:t>
            </w:r>
            <w:r>
              <w:rPr>
                <w:rFonts w:hint="eastAsia" w:ascii="宋体" w:hAnsi="宋体" w:cs="宋体"/>
                <w:szCs w:val="21"/>
                <w:lang w:val="en-US" w:eastAsia="zh-CN"/>
              </w:rPr>
              <w:t xml:space="preserve">     100%</w:t>
            </w:r>
          </w:p>
          <w:p>
            <w:pPr>
              <w:ind w:firstLine="420" w:firstLineChars="200"/>
              <w:rPr>
                <w:rFonts w:hint="default" w:ascii="宋体" w:hAnsi="宋体" w:eastAsia="宋体" w:cs="宋体"/>
                <w:szCs w:val="21"/>
                <w:lang w:val="en-US" w:eastAsia="zh-CN"/>
              </w:rPr>
            </w:pPr>
            <w:r>
              <w:rPr>
                <w:rFonts w:hint="eastAsia" w:ascii="宋体" w:hAnsi="宋体" w:cs="宋体"/>
                <w:szCs w:val="21"/>
              </w:rPr>
              <w:t>2、无重大环境投诉</w:t>
            </w:r>
            <w:r>
              <w:rPr>
                <w:rFonts w:hint="eastAsia" w:ascii="宋体" w:hAnsi="宋体" w:cs="宋体"/>
                <w:szCs w:val="21"/>
                <w:lang w:val="en-US" w:eastAsia="zh-CN"/>
              </w:rPr>
              <w:t xml:space="preserve">                     无</w:t>
            </w:r>
          </w:p>
          <w:p>
            <w:pPr>
              <w:spacing w:line="360" w:lineRule="auto"/>
              <w:ind w:firstLine="420" w:firstLineChars="200"/>
              <w:rPr>
                <w:szCs w:val="21"/>
              </w:rPr>
            </w:pPr>
            <w:r>
              <w:rPr>
                <w:rFonts w:hint="eastAsia" w:asciiTheme="minorEastAsia" w:hAnsiTheme="minorEastAsia" w:eastAsiaTheme="minorEastAsia" w:cstheme="minorEastAsia"/>
                <w:szCs w:val="21"/>
                <w:lang w:val="en-US" w:eastAsia="zh-CN"/>
              </w:rPr>
              <w:t>提供2021.7-2021.9、2021.10-2021.12目标完成情况统计表，以上目</w:t>
            </w:r>
            <w:r>
              <w:rPr>
                <w:rFonts w:hint="eastAsia" w:asciiTheme="minorEastAsia" w:hAnsiTheme="minorEastAsia" w:eastAsiaTheme="minorEastAsia" w:cstheme="minorEastAsia"/>
                <w:szCs w:val="21"/>
              </w:rPr>
              <w:t>标指标均已完成。</w:t>
            </w:r>
          </w:p>
          <w:p>
            <w:pPr>
              <w:spacing w:line="360" w:lineRule="auto"/>
              <w:ind w:firstLine="420" w:firstLineChars="200"/>
              <w:rPr>
                <w:szCs w:val="21"/>
              </w:rPr>
            </w:pPr>
            <w:r>
              <w:rPr>
                <w:rFonts w:hint="eastAsia"/>
                <w:szCs w:val="21"/>
              </w:rPr>
              <w:t>对以上的目标指标制定了管理方案：</w:t>
            </w:r>
          </w:p>
          <w:p>
            <w:pPr>
              <w:spacing w:line="360" w:lineRule="auto"/>
              <w:ind w:firstLine="420" w:firstLineChars="200"/>
              <w:rPr>
                <w:rFonts w:hint="eastAsia" w:eastAsia="宋体"/>
                <w:szCs w:val="21"/>
                <w:lang w:eastAsia="zh-CN"/>
              </w:rPr>
            </w:pPr>
            <w:r>
              <w:rPr>
                <w:rFonts w:hint="eastAsia" w:eastAsia="宋体"/>
                <w:szCs w:val="21"/>
              </w:rPr>
              <w:t>环境管理方案，查管理方案表，共2项：</w:t>
            </w:r>
            <w:r>
              <w:rPr>
                <w:rFonts w:hint="eastAsia" w:eastAsia="宋体"/>
                <w:szCs w:val="21"/>
                <w:lang w:val="en-US" w:eastAsia="zh-CN"/>
              </w:rPr>
              <w:t>1、</w:t>
            </w:r>
            <w:r>
              <w:rPr>
                <w:rFonts w:hint="eastAsia"/>
                <w:szCs w:val="21"/>
              </w:rPr>
              <w:t>固废类统一处理</w:t>
            </w:r>
            <w:r>
              <w:rPr>
                <w:rFonts w:hint="eastAsia"/>
                <w:szCs w:val="21"/>
                <w:lang w:eastAsia="zh-CN"/>
              </w:rPr>
              <w:t>：</w:t>
            </w:r>
          </w:p>
          <w:p>
            <w:pPr>
              <w:spacing w:line="360" w:lineRule="auto"/>
              <w:ind w:firstLine="420" w:firstLineChars="200"/>
              <w:rPr>
                <w:rFonts w:hint="eastAsia" w:eastAsia="宋体"/>
                <w:szCs w:val="21"/>
                <w:lang w:val="en-US" w:eastAsia="zh-CN"/>
              </w:rPr>
            </w:pPr>
            <w:r>
              <w:rPr>
                <w:rFonts w:hint="eastAsia" w:eastAsia="宋体"/>
                <w:szCs w:val="21"/>
              </w:rPr>
              <w:t>1</w:t>
            </w:r>
            <w:r>
              <w:rPr>
                <w:rFonts w:hint="eastAsia" w:eastAsia="宋体"/>
                <w:szCs w:val="21"/>
                <w:lang w:eastAsia="zh-CN"/>
              </w:rPr>
              <w:t>）</w:t>
            </w:r>
            <w:r>
              <w:rPr>
                <w:rFonts w:hint="eastAsia" w:eastAsia="宋体"/>
                <w:szCs w:val="21"/>
              </w:rPr>
              <w:t>划分</w:t>
            </w:r>
            <w:r>
              <w:rPr>
                <w:rFonts w:hint="eastAsia" w:eastAsia="宋体"/>
                <w:szCs w:val="21"/>
                <w:lang w:val="en-US" w:eastAsia="zh-CN"/>
              </w:rPr>
              <w:t>垃圾区域，可回收与不可回收</w:t>
            </w:r>
          </w:p>
          <w:p>
            <w:pPr>
              <w:spacing w:line="360" w:lineRule="auto"/>
              <w:ind w:firstLine="420" w:firstLineChars="200"/>
              <w:rPr>
                <w:rFonts w:hint="eastAsia" w:eastAsia="宋体"/>
                <w:szCs w:val="21"/>
              </w:rPr>
            </w:pPr>
            <w:r>
              <w:rPr>
                <w:rFonts w:hint="eastAsia" w:eastAsia="宋体"/>
                <w:szCs w:val="21"/>
              </w:rPr>
              <w:t>2</w:t>
            </w:r>
            <w:r>
              <w:rPr>
                <w:rFonts w:hint="eastAsia" w:eastAsia="宋体"/>
                <w:szCs w:val="21"/>
                <w:lang w:eastAsia="zh-CN"/>
              </w:rPr>
              <w:t>）</w:t>
            </w:r>
            <w:r>
              <w:rPr>
                <w:rFonts w:hint="eastAsia" w:eastAsia="宋体"/>
                <w:szCs w:val="21"/>
              </w:rPr>
              <w:t>废弃硒鼓、墨盒由供应商回收统一处理。</w:t>
            </w:r>
          </w:p>
          <w:p>
            <w:pPr>
              <w:spacing w:line="360" w:lineRule="auto"/>
              <w:ind w:firstLine="420" w:firstLineChars="200"/>
              <w:rPr>
                <w:rFonts w:hint="eastAsia" w:eastAsia="宋体"/>
                <w:szCs w:val="21"/>
              </w:rPr>
            </w:pPr>
            <w:r>
              <w:rPr>
                <w:rFonts w:hint="eastAsia" w:eastAsia="宋体"/>
                <w:szCs w:val="21"/>
              </w:rPr>
              <w:t>3</w:t>
            </w:r>
            <w:r>
              <w:rPr>
                <w:rFonts w:hint="eastAsia" w:eastAsia="宋体"/>
                <w:szCs w:val="21"/>
                <w:lang w:eastAsia="zh-CN"/>
              </w:rPr>
              <w:t>）</w:t>
            </w:r>
            <w:r>
              <w:rPr>
                <w:rFonts w:hint="eastAsia" w:eastAsia="宋体"/>
                <w:szCs w:val="21"/>
              </w:rPr>
              <w:t>废弃灯管、电池等设置专门回收桶，统一集中由环卫部门回收处理。</w:t>
            </w:r>
          </w:p>
          <w:p>
            <w:pPr>
              <w:spacing w:line="360" w:lineRule="auto"/>
              <w:ind w:firstLine="420" w:firstLineChars="200"/>
              <w:rPr>
                <w:rFonts w:hint="eastAsia" w:eastAsia="宋体"/>
                <w:szCs w:val="21"/>
              </w:rPr>
            </w:pPr>
            <w:r>
              <w:rPr>
                <w:rFonts w:hint="eastAsia" w:eastAsia="宋体"/>
                <w:szCs w:val="21"/>
              </w:rPr>
              <w:t>2、杜绝火灾发生，制定了管理方案: 制定管理方案：</w:t>
            </w:r>
          </w:p>
          <w:p>
            <w:pPr>
              <w:spacing w:line="360" w:lineRule="auto"/>
              <w:ind w:firstLine="420" w:firstLineChars="200"/>
              <w:rPr>
                <w:rFonts w:hint="eastAsia" w:eastAsia="宋体"/>
                <w:szCs w:val="21"/>
              </w:rPr>
            </w:pPr>
            <w:r>
              <w:rPr>
                <w:rFonts w:hint="eastAsia" w:eastAsia="宋体"/>
                <w:szCs w:val="21"/>
              </w:rPr>
              <w:t>1</w:t>
            </w:r>
            <w:r>
              <w:rPr>
                <w:rFonts w:hint="eastAsia"/>
                <w:szCs w:val="21"/>
                <w:lang w:eastAsia="zh-CN"/>
              </w:rPr>
              <w:t>）</w:t>
            </w:r>
            <w:r>
              <w:rPr>
                <w:rFonts w:hint="eastAsia" w:eastAsia="宋体"/>
                <w:szCs w:val="21"/>
              </w:rPr>
              <w:t>公司综合部负责消防设备的配备、采购与管理。</w:t>
            </w:r>
          </w:p>
          <w:p>
            <w:pPr>
              <w:spacing w:line="360" w:lineRule="auto"/>
              <w:ind w:firstLine="420" w:firstLineChars="200"/>
              <w:rPr>
                <w:rFonts w:hint="eastAsia" w:eastAsia="宋体"/>
                <w:szCs w:val="21"/>
              </w:rPr>
            </w:pPr>
            <w:r>
              <w:rPr>
                <w:rFonts w:hint="eastAsia" w:eastAsia="宋体"/>
                <w:szCs w:val="21"/>
              </w:rPr>
              <w:t>2</w:t>
            </w:r>
            <w:r>
              <w:rPr>
                <w:rFonts w:hint="eastAsia"/>
                <w:szCs w:val="21"/>
                <w:lang w:eastAsia="zh-CN"/>
              </w:rPr>
              <w:t>）</w:t>
            </w:r>
            <w:r>
              <w:rPr>
                <w:rFonts w:hint="eastAsia" w:eastAsia="宋体"/>
                <w:szCs w:val="21"/>
              </w:rPr>
              <w:t>综合部要求配备合理数量的灭火器并确保其有效性。</w:t>
            </w:r>
          </w:p>
          <w:p>
            <w:pPr>
              <w:spacing w:line="360" w:lineRule="auto"/>
              <w:ind w:firstLine="420" w:firstLineChars="200"/>
              <w:rPr>
                <w:rFonts w:hint="eastAsia" w:eastAsia="宋体"/>
                <w:szCs w:val="21"/>
              </w:rPr>
            </w:pPr>
            <w:r>
              <w:rPr>
                <w:rFonts w:hint="eastAsia" w:eastAsia="宋体"/>
                <w:szCs w:val="21"/>
              </w:rPr>
              <w:t>3</w:t>
            </w:r>
            <w:r>
              <w:rPr>
                <w:rFonts w:hint="eastAsia"/>
                <w:szCs w:val="21"/>
                <w:lang w:eastAsia="zh-CN"/>
              </w:rPr>
              <w:t>）</w:t>
            </w:r>
            <w:r>
              <w:rPr>
                <w:rFonts w:hint="eastAsia" w:eastAsia="宋体"/>
                <w:szCs w:val="21"/>
              </w:rPr>
              <w:t>综合部每月对各部门区域的灭火器进行检查，发现损坏及时要求更换或自行更换。</w:t>
            </w:r>
          </w:p>
          <w:p>
            <w:pPr>
              <w:spacing w:line="360" w:lineRule="auto"/>
              <w:ind w:firstLine="420" w:firstLineChars="200"/>
              <w:rPr>
                <w:rFonts w:hint="eastAsia" w:eastAsia="宋体"/>
                <w:szCs w:val="21"/>
              </w:rPr>
            </w:pPr>
            <w:r>
              <w:rPr>
                <w:rFonts w:hint="eastAsia" w:eastAsia="宋体"/>
                <w:szCs w:val="21"/>
              </w:rPr>
              <w:t>4</w:t>
            </w:r>
            <w:r>
              <w:rPr>
                <w:rFonts w:hint="eastAsia"/>
                <w:szCs w:val="21"/>
                <w:lang w:eastAsia="zh-CN"/>
              </w:rPr>
              <w:t>）</w:t>
            </w:r>
            <w:r>
              <w:rPr>
                <w:rFonts w:hint="eastAsia" w:eastAsia="宋体"/>
                <w:szCs w:val="21"/>
              </w:rPr>
              <w:t>综合部每季度安全工作检查时，对灭火器进行检查，发现损坏及时更换。</w:t>
            </w:r>
          </w:p>
          <w:p>
            <w:pPr>
              <w:spacing w:line="360" w:lineRule="auto"/>
              <w:ind w:firstLine="420" w:firstLineChars="200"/>
              <w:rPr>
                <w:rFonts w:hint="eastAsia" w:eastAsia="宋体"/>
                <w:szCs w:val="21"/>
              </w:rPr>
            </w:pPr>
            <w:r>
              <w:rPr>
                <w:rFonts w:hint="eastAsia" w:eastAsia="宋体"/>
                <w:szCs w:val="21"/>
              </w:rPr>
              <w:t>5</w:t>
            </w:r>
            <w:r>
              <w:rPr>
                <w:rFonts w:hint="eastAsia"/>
                <w:szCs w:val="21"/>
                <w:lang w:eastAsia="zh-CN"/>
              </w:rPr>
              <w:t>）</w:t>
            </w:r>
            <w:r>
              <w:rPr>
                <w:rFonts w:hint="eastAsia" w:eastAsia="宋体"/>
                <w:szCs w:val="21"/>
              </w:rPr>
              <w:t>各部门负责及时清理办公区域内的可燃物。</w:t>
            </w:r>
          </w:p>
          <w:p>
            <w:pPr>
              <w:spacing w:line="360" w:lineRule="auto"/>
              <w:ind w:firstLine="420" w:firstLineChars="200"/>
              <w:rPr>
                <w:szCs w:val="21"/>
              </w:rPr>
            </w:pPr>
            <w:r>
              <w:rPr>
                <w:rFonts w:hint="eastAsia" w:eastAsia="宋体"/>
                <w:szCs w:val="21"/>
              </w:rPr>
              <w:t>6</w:t>
            </w:r>
            <w:r>
              <w:rPr>
                <w:rFonts w:hint="eastAsia"/>
                <w:szCs w:val="21"/>
                <w:lang w:eastAsia="zh-CN"/>
              </w:rPr>
              <w:t>）</w:t>
            </w:r>
            <w:r>
              <w:rPr>
                <w:rFonts w:hint="eastAsia" w:eastAsia="宋体"/>
                <w:szCs w:val="21"/>
              </w:rPr>
              <w:t>综合部负责监督此管理方案的落实。</w:t>
            </w:r>
          </w:p>
          <w:p>
            <w:pPr>
              <w:spacing w:line="360" w:lineRule="auto"/>
            </w:pPr>
            <w:r>
              <w:rPr>
                <w:rFonts w:hint="eastAsia"/>
                <w:szCs w:val="21"/>
              </w:rPr>
              <w:t>制定的指标和管理方案基本可行。</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160" w:type="dxa"/>
            <w:vAlign w:val="center"/>
          </w:tcPr>
          <w:p>
            <w:pPr>
              <w:spacing w:line="360" w:lineRule="auto"/>
              <w:rPr>
                <w:szCs w:val="21"/>
              </w:rPr>
            </w:pPr>
            <w:r>
              <w:rPr>
                <w:rFonts w:hint="eastAsia"/>
                <w:szCs w:val="21"/>
              </w:rPr>
              <w:t>环境因素、危险源识别</w:t>
            </w:r>
          </w:p>
        </w:tc>
        <w:tc>
          <w:tcPr>
            <w:tcW w:w="960" w:type="dxa"/>
            <w:vAlign w:val="center"/>
          </w:tcPr>
          <w:p>
            <w:pPr>
              <w:spacing w:line="360" w:lineRule="auto"/>
              <w:rPr>
                <w:szCs w:val="21"/>
              </w:rPr>
            </w:pPr>
            <w:r>
              <w:rPr>
                <w:rFonts w:hint="eastAsia"/>
                <w:szCs w:val="21"/>
              </w:rPr>
              <w:t>E6.1.2</w:t>
            </w:r>
          </w:p>
          <w:p>
            <w:pPr>
              <w:spacing w:line="360" w:lineRule="auto"/>
            </w:pPr>
          </w:p>
        </w:tc>
        <w:tc>
          <w:tcPr>
            <w:tcW w:w="10004" w:type="dxa"/>
            <w:vAlign w:val="center"/>
          </w:tcPr>
          <w:p>
            <w:pPr>
              <w:spacing w:line="360" w:lineRule="auto"/>
              <w:ind w:firstLine="420" w:firstLineChars="200"/>
              <w:rPr>
                <w:szCs w:val="21"/>
              </w:rPr>
            </w:pPr>
            <w:r>
              <w:rPr>
                <w:rFonts w:hint="eastAsia"/>
                <w:szCs w:val="21"/>
              </w:rPr>
              <w:t>编制了</w:t>
            </w:r>
            <w:r>
              <w:rPr>
                <w:szCs w:val="21"/>
              </w:rPr>
              <w:t>《</w:t>
            </w:r>
            <w:r>
              <w:rPr>
                <w:rFonts w:hint="eastAsia" w:ascii="宋体" w:hAnsi="宋体" w:cs="宋体"/>
                <w:szCs w:val="24"/>
                <w:lang w:eastAsia="zh-CN"/>
              </w:rPr>
              <w:t>环境因素的识别、评价控制程序</w:t>
            </w:r>
            <w:r>
              <w:rPr>
                <w:szCs w:val="21"/>
              </w:rPr>
              <w:t>》</w:t>
            </w:r>
            <w:r>
              <w:rPr>
                <w:rFonts w:hint="eastAsia"/>
                <w:szCs w:val="21"/>
              </w:rPr>
              <w:t>符合标准要求.</w:t>
            </w:r>
          </w:p>
          <w:p>
            <w:pPr>
              <w:spacing w:line="360" w:lineRule="auto"/>
              <w:ind w:firstLine="420" w:firstLineChars="200"/>
              <w:rPr>
                <w:szCs w:val="21"/>
              </w:rPr>
            </w:pPr>
            <w:r>
              <w:rPr>
                <w:rFonts w:hint="eastAsia"/>
                <w:szCs w:val="21"/>
              </w:rPr>
              <w:t>提供的“环境因素识别评价表”， 评价考虑了三种时态现在、过去、将来、三种状态、异常、正常、紧急考虑了法律法规，并进行了评价，</w:t>
            </w:r>
            <w:r>
              <w:rPr>
                <w:rFonts w:hint="eastAsia" w:ascii="宋体" w:hAnsi="宋体"/>
                <w:szCs w:val="21"/>
                <w:lang w:eastAsia="zh-CN"/>
              </w:rPr>
              <w:t>许可范围内的管道燃气（天然气）运营所涉及场所的相关环境管理活动</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spacing w:line="360" w:lineRule="auto"/>
              <w:ind w:firstLine="420" w:firstLineChars="200"/>
              <w:rPr>
                <w:szCs w:val="21"/>
              </w:rPr>
            </w:pPr>
            <w:r>
              <w:rPr>
                <w:rFonts w:hint="eastAsia"/>
                <w:szCs w:val="21"/>
              </w:rPr>
              <w:t>对重要环境因素的控制措施包括制定管理制度、监督检查、应急预案、培训等。提供《重要环境因素识别清单》，其中综合办涉及的重要环境因素：固废排放、意外火灾的发生，评价基本合理。</w:t>
            </w:r>
          </w:p>
          <w:p>
            <w:pPr>
              <w:spacing w:line="360" w:lineRule="auto"/>
              <w:ind w:firstLine="420" w:firstLineChars="200"/>
              <w:rPr>
                <w:bCs/>
                <w:szCs w:val="21"/>
              </w:rPr>
            </w:pP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pPr>
            <w:r>
              <w:rPr>
                <w:rFonts w:hint="eastAsia"/>
                <w:color w:val="000000"/>
                <w:szCs w:val="21"/>
              </w:rPr>
              <w:t>运行控制</w:t>
            </w:r>
          </w:p>
        </w:tc>
        <w:tc>
          <w:tcPr>
            <w:tcW w:w="960" w:type="dxa"/>
            <w:vAlign w:val="center"/>
          </w:tcPr>
          <w:p>
            <w:pPr>
              <w:spacing w:line="360" w:lineRule="auto"/>
              <w:rPr>
                <w:color w:val="000000"/>
                <w:szCs w:val="21"/>
              </w:rPr>
            </w:pPr>
            <w:r>
              <w:rPr>
                <w:rFonts w:hint="eastAsia"/>
                <w:color w:val="000000"/>
                <w:szCs w:val="21"/>
              </w:rPr>
              <w:t>E8.1</w:t>
            </w:r>
          </w:p>
          <w:p>
            <w:pPr>
              <w:spacing w:line="360" w:lineRule="auto"/>
            </w:pPr>
          </w:p>
        </w:tc>
        <w:tc>
          <w:tcPr>
            <w:tcW w:w="10004" w:type="dxa"/>
            <w:vAlign w:val="center"/>
          </w:tcPr>
          <w:p>
            <w:pPr>
              <w:spacing w:line="360" w:lineRule="auto"/>
              <w:ind w:firstLine="420" w:firstLineChars="200"/>
            </w:pPr>
            <w:r>
              <w:rPr>
                <w:rFonts w:hint="eastAsia"/>
              </w:rPr>
              <w:t>本部门应执行的运行控制文件包括：</w:t>
            </w:r>
            <w:r>
              <w:rPr>
                <w:rFonts w:hint="eastAsia"/>
                <w:lang w:val="en-GB"/>
              </w:rPr>
              <w:t>废弃物管理办法、节能降耗管理办法、岗位职责权限、安全消防制度</w:t>
            </w:r>
            <w:r>
              <w:rPr>
                <w:rFonts w:hint="eastAsia"/>
              </w:rPr>
              <w:t>等</w:t>
            </w:r>
          </w:p>
          <w:p>
            <w:pPr>
              <w:spacing w:line="360" w:lineRule="auto"/>
              <w:ind w:firstLine="421"/>
              <w:rPr>
                <w:rFonts w:hint="eastAsia"/>
              </w:rPr>
            </w:pPr>
            <w:r>
              <w:rPr>
                <w:rFonts w:hint="eastAsia"/>
              </w:rPr>
              <w:t>运行控制情况：</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1、废水管控</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主要生活废水排入政府污水管网统一处理。</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2、废气管控</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办公现场基本无废气排放。</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3、噪声管控</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办公噪声主要是复印机运行，噪声较低，采取措施按时清洁保养。</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4、固废管控</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主要为生活垃圾</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以及维修过程产生的管道接头边角料</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由</w:t>
            </w:r>
            <w:r>
              <w:rPr>
                <w:rFonts w:hint="eastAsia" w:asciiTheme="minorEastAsia" w:hAnsiTheme="minorEastAsia" w:eastAsiaTheme="minorEastAsia" w:cstheme="minorEastAsia"/>
                <w:szCs w:val="21"/>
                <w:lang w:eastAsia="zh-CN"/>
              </w:rPr>
              <w:t>综合部</w:t>
            </w:r>
            <w:r>
              <w:rPr>
                <w:rFonts w:hint="eastAsia" w:asciiTheme="minorEastAsia" w:hAnsiTheme="minorEastAsia" w:eastAsiaTheme="minorEastAsia" w:cstheme="minorEastAsia"/>
                <w:szCs w:val="21"/>
                <w:lang w:val="en-US" w:eastAsia="zh-CN"/>
              </w:rPr>
              <w:t>分类，集中</w:t>
            </w:r>
            <w:r>
              <w:rPr>
                <w:rFonts w:hint="eastAsia" w:asciiTheme="minorEastAsia" w:hAnsiTheme="minorEastAsia" w:eastAsiaTheme="minorEastAsia" w:cstheme="minorEastAsia"/>
                <w:szCs w:val="21"/>
              </w:rPr>
              <w:t>倒入垃圾站由市政环卫运送至统一地点集中处理。</w:t>
            </w:r>
          </w:p>
          <w:p>
            <w:pPr>
              <w:numPr>
                <w:ilvl w:val="0"/>
                <w:numId w:val="1"/>
              </w:num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能源资源管控</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运营</w:t>
            </w:r>
            <w:r>
              <w:rPr>
                <w:rFonts w:hint="eastAsia" w:asciiTheme="minorEastAsia" w:hAnsiTheme="minorEastAsia" w:eastAsiaTheme="minorEastAsia" w:cstheme="minorEastAsia"/>
                <w:szCs w:val="21"/>
                <w:lang w:val="en-US" w:eastAsia="zh-CN"/>
              </w:rPr>
              <w:t>服务</w:t>
            </w:r>
            <w:r>
              <w:rPr>
                <w:rFonts w:hint="eastAsia" w:asciiTheme="minorEastAsia" w:hAnsiTheme="minorEastAsia" w:eastAsiaTheme="minorEastAsia" w:cstheme="minorEastAsia"/>
                <w:szCs w:val="21"/>
              </w:rPr>
              <w:t>过程注意节水、节电、节油，人走关闭开关，现场采用声控节能灯，未发现有漏水和浪费电能的现象。</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6、潜在火灾管控</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公司办公配备有灭火栓、灭火器，消防通道畅通，每半年有检查，符合要求。</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7、环境防护</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公司给员工发放口罩等劳保用品。</w:t>
            </w:r>
          </w:p>
          <w:p>
            <w:pPr>
              <w:numPr>
                <w:ilvl w:val="0"/>
                <w:numId w:val="0"/>
              </w:numPr>
              <w:spacing w:line="360" w:lineRule="auto"/>
              <w:ind w:leftChars="0" w:firstLine="420" w:firstLineChars="200"/>
            </w:pPr>
            <w:r>
              <w:rPr>
                <w:rFonts w:hint="eastAsia" w:asciiTheme="minorEastAsia" w:hAnsiTheme="minorEastAsia" w:eastAsiaTheme="minorEastAsia" w:cstheme="minorEastAsia"/>
                <w:szCs w:val="21"/>
              </w:rPr>
              <w:t>8、为关键长期员工上社保。</w:t>
            </w:r>
          </w:p>
          <w:p>
            <w:pPr>
              <w:numPr>
                <w:ilvl w:val="0"/>
                <w:numId w:val="0"/>
              </w:numPr>
              <w:spacing w:line="360" w:lineRule="auto"/>
              <w:ind w:leftChars="0" w:firstLine="420" w:firstLineChars="200"/>
            </w:pPr>
            <w:r>
              <w:rPr>
                <w:rFonts w:hint="eastAsia"/>
                <w:lang w:val="en-US" w:eastAsia="zh-CN"/>
              </w:rPr>
              <w:t>9、</w:t>
            </w:r>
            <w:r>
              <w:rPr>
                <w:rFonts w:hint="eastAsia"/>
              </w:rPr>
              <w:t>工作时间平均每天不超过8小时。</w:t>
            </w:r>
          </w:p>
          <w:p>
            <w:pPr>
              <w:numPr>
                <w:ilvl w:val="0"/>
                <w:numId w:val="0"/>
              </w:numPr>
              <w:spacing w:line="360" w:lineRule="auto"/>
              <w:ind w:leftChars="0" w:firstLine="420" w:firstLineChars="200"/>
            </w:pPr>
            <w:r>
              <w:rPr>
                <w:rFonts w:hint="eastAsia"/>
                <w:lang w:val="en-US" w:eastAsia="zh-CN"/>
              </w:rPr>
              <w:t>10、</w:t>
            </w:r>
            <w:r>
              <w:rPr>
                <w:rFonts w:hint="eastAsia"/>
              </w:rPr>
              <w:t>现场查看办公区域配备符合要求的消防设施。</w:t>
            </w:r>
          </w:p>
          <w:p>
            <w:pPr>
              <w:numPr>
                <w:ilvl w:val="0"/>
                <w:numId w:val="0"/>
              </w:numPr>
              <w:spacing w:line="360" w:lineRule="auto"/>
              <w:ind w:leftChars="0" w:firstLine="420" w:firstLineChars="200"/>
            </w:pPr>
            <w:r>
              <w:rPr>
                <w:rFonts w:hint="eastAsia"/>
                <w:lang w:val="en-US" w:eastAsia="zh-CN"/>
              </w:rPr>
              <w:t>11、</w:t>
            </w:r>
            <w:r>
              <w:rPr>
                <w:rFonts w:hint="eastAsia"/>
              </w:rPr>
              <w:t>现场查看办公区域，整洁、光线充足、室内空气良好、配置有空调，办公条件较好，办公设备安全状态良好，教育员工正确使用办公设备，现场用电基本规范，无乱拉线现象，防止火灾发生。</w:t>
            </w:r>
          </w:p>
          <w:p>
            <w:pPr>
              <w:spacing w:line="360" w:lineRule="auto"/>
              <w:ind w:firstLine="420" w:firstLineChars="200"/>
              <w:rPr>
                <w:rFonts w:hint="eastAsia" w:eastAsia="宋体"/>
                <w:lang w:val="en-US" w:eastAsia="zh-CN"/>
              </w:rPr>
            </w:pPr>
            <w:r>
              <w:rPr>
                <w:rFonts w:hint="eastAsia"/>
                <w:lang w:val="en-US" w:eastAsia="zh-CN"/>
              </w:rPr>
              <w:t>12、</w:t>
            </w:r>
            <w:r>
              <w:rPr>
                <w:rFonts w:hint="eastAsia"/>
              </w:rPr>
              <w:t>相关方施加影响：公司能够控制或能够施加影响的相关方有顾客等。提供了“致相关方的公开信”，将公司的环境/安全控制要求发放到了所有相关方:运输公司\供应商\外来员工等</w:t>
            </w:r>
            <w:r>
              <w:rPr>
                <w:rFonts w:hint="eastAsia"/>
                <w:lang w:val="en-US" w:eastAsia="zh-CN"/>
              </w:rPr>
              <w:t>.</w:t>
            </w:r>
          </w:p>
          <w:p>
            <w:pPr>
              <w:pStyle w:val="9"/>
              <w:spacing w:line="360" w:lineRule="auto"/>
              <w:rPr>
                <w:rFonts w:hint="default" w:ascii="Times New Roman" w:hAnsi="Times New Roman" w:eastAsia="宋体" w:cs="Times New Roman"/>
                <w:kern w:val="2"/>
                <w:sz w:val="21"/>
                <w:lang w:val="en-US" w:eastAsia="zh-CN" w:bidi="ar-SA"/>
              </w:rPr>
            </w:pPr>
            <w:r>
              <w:rPr>
                <w:rFonts w:hint="eastAsia"/>
                <w:szCs w:val="21"/>
              </w:rPr>
              <w:t>财务提供环保资金3000元、人员培训1000元、劳保用品1000元等费用投入情况.</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60" w:type="dxa"/>
            <w:vAlign w:val="center"/>
          </w:tcPr>
          <w:p>
            <w:pPr>
              <w:spacing w:line="360" w:lineRule="auto"/>
            </w:pPr>
            <w:r>
              <w:rPr>
                <w:rFonts w:hint="eastAsia"/>
                <w:color w:val="000000"/>
                <w:szCs w:val="21"/>
              </w:rPr>
              <w:t>应急准备和响应</w:t>
            </w:r>
          </w:p>
        </w:tc>
        <w:tc>
          <w:tcPr>
            <w:tcW w:w="960" w:type="dxa"/>
            <w:vAlign w:val="center"/>
          </w:tcPr>
          <w:p>
            <w:pPr>
              <w:spacing w:line="360" w:lineRule="auto"/>
              <w:rPr>
                <w:color w:val="000000"/>
                <w:szCs w:val="21"/>
              </w:rPr>
            </w:pPr>
            <w:r>
              <w:rPr>
                <w:rFonts w:hint="eastAsia"/>
                <w:color w:val="000000"/>
                <w:szCs w:val="21"/>
              </w:rPr>
              <w:t>E8.2</w:t>
            </w:r>
          </w:p>
          <w:p>
            <w:pPr>
              <w:spacing w:line="360" w:lineRule="auto"/>
            </w:pPr>
          </w:p>
        </w:tc>
        <w:tc>
          <w:tcPr>
            <w:tcW w:w="10004" w:type="dxa"/>
            <w:vAlign w:val="center"/>
          </w:tcPr>
          <w:p>
            <w:pPr>
              <w:spacing w:line="360" w:lineRule="auto"/>
              <w:rPr>
                <w:rFonts w:hint="eastAsia" w:eastAsia="宋体"/>
              </w:rPr>
            </w:pPr>
            <w:r>
              <w:rPr>
                <w:rFonts w:hint="eastAsia" w:eastAsia="宋体"/>
              </w:rPr>
              <w:t>公司制定《应急准备和响应控制程序，预防或减少潜在安全事故或紧急情况造成的影响，对可能发生的各种重要环境危险源的紧急情况做出积极准备和响应，以减少事故造成的影响。</w:t>
            </w:r>
          </w:p>
          <w:p>
            <w:pPr>
              <w:spacing w:line="360" w:lineRule="auto"/>
              <w:rPr>
                <w:rFonts w:hint="eastAsia" w:eastAsia="宋体"/>
              </w:rPr>
            </w:pPr>
            <w:r>
              <w:rPr>
                <w:rFonts w:hint="eastAsia" w:eastAsia="宋体"/>
              </w:rPr>
              <w:t>提供了《火灾应急处理预案》，包括发生火灾等紧急情况的处置和应急抢救方案等内容。</w:t>
            </w:r>
          </w:p>
          <w:p>
            <w:pPr>
              <w:spacing w:line="360" w:lineRule="auto"/>
              <w:rPr>
                <w:rFonts w:hint="eastAsia" w:eastAsia="宋体"/>
              </w:rPr>
            </w:pPr>
            <w:r>
              <w:rPr>
                <w:rFonts w:hint="eastAsia" w:eastAsia="宋体"/>
              </w:rPr>
              <w:t>出示了“火灾演练记录”</w:t>
            </w:r>
          </w:p>
          <w:p>
            <w:pPr>
              <w:spacing w:line="360" w:lineRule="auto"/>
              <w:rPr>
                <w:rFonts w:hint="eastAsia" w:eastAsia="宋体"/>
              </w:rPr>
            </w:pPr>
            <w:r>
              <w:rPr>
                <w:rFonts w:hint="eastAsia" w:eastAsia="宋体"/>
              </w:rPr>
              <w:t>组织部门：演练主持人：</w:t>
            </w:r>
            <w:r>
              <w:rPr>
                <w:rFonts w:hint="eastAsia" w:eastAsia="宋体"/>
                <w:lang w:eastAsia="zh-CN"/>
              </w:rPr>
              <w:t>蔡建金</w:t>
            </w:r>
            <w:r>
              <w:rPr>
                <w:rFonts w:hint="eastAsia" w:eastAsia="宋体"/>
              </w:rPr>
              <w:t>，参加演练人员名单：</w:t>
            </w:r>
            <w:r>
              <w:rPr>
                <w:rFonts w:hint="eastAsia" w:eastAsia="宋体"/>
                <w:lang w:eastAsia="zh-CN"/>
              </w:rPr>
              <w:t>刘建瑞</w:t>
            </w:r>
            <w:r>
              <w:rPr>
                <w:rFonts w:hint="eastAsia" w:eastAsia="宋体"/>
              </w:rPr>
              <w:t>、</w:t>
            </w:r>
            <w:r>
              <w:rPr>
                <w:rFonts w:hint="eastAsia" w:eastAsia="宋体"/>
                <w:lang w:eastAsia="zh-CN"/>
              </w:rPr>
              <w:t>李霞</w:t>
            </w:r>
            <w:r>
              <w:rPr>
                <w:rFonts w:hint="eastAsia" w:eastAsia="宋体"/>
              </w:rPr>
              <w:t>、</w:t>
            </w:r>
            <w:r>
              <w:rPr>
                <w:rFonts w:hint="eastAsia" w:eastAsia="宋体"/>
                <w:lang w:eastAsia="zh-CN"/>
              </w:rPr>
              <w:t>王浩</w:t>
            </w:r>
            <w:r>
              <w:rPr>
                <w:rFonts w:hint="eastAsia" w:eastAsia="宋体"/>
              </w:rPr>
              <w:t>等公司全体人员。</w:t>
            </w:r>
          </w:p>
          <w:p>
            <w:pPr>
              <w:spacing w:line="360" w:lineRule="auto"/>
              <w:rPr>
                <w:rFonts w:hint="eastAsia" w:eastAsia="宋体"/>
                <w:lang w:val="en-GB"/>
              </w:rPr>
            </w:pPr>
            <w:r>
              <w:rPr>
                <w:rFonts w:hint="eastAsia" w:eastAsia="宋体"/>
                <w:lang w:val="en-GB"/>
              </w:rPr>
              <w:t>事故救援过程描述：一旦发生当发生火灾事故时，外伤应急救护：外伤出血后，根据伤口的部位、轻重程度，可分别或同时采取指压止血法、加压包扎法或止血带止血法，如有骨折，则采用木板等物予以固定；运送伤患者前，应检查伤者头、胸、腹、背及四肢的伤势，并给予适当的处理。</w:t>
            </w:r>
          </w:p>
          <w:p>
            <w:pPr>
              <w:spacing w:line="360" w:lineRule="auto"/>
              <w:rPr>
                <w:rFonts w:hint="eastAsia" w:eastAsia="宋体"/>
                <w:lang w:val="en-GB"/>
              </w:rPr>
            </w:pPr>
            <w:r>
              <w:rPr>
                <w:rFonts w:hint="eastAsia" w:eastAsia="宋体"/>
                <w:lang w:val="en-GB"/>
              </w:rPr>
              <w:t>应急物资的准备、维护、保养：(1)应急物资的准备：简易单架、跌达损伤药品、包扎纱布。 (2)各种应急物资要配备齐全并加强日常管理。</w:t>
            </w:r>
          </w:p>
          <w:p>
            <w:pPr>
              <w:spacing w:line="360" w:lineRule="auto"/>
              <w:rPr>
                <w:rFonts w:hint="eastAsia" w:eastAsia="宋体"/>
              </w:rPr>
            </w:pPr>
            <w:r>
              <w:rPr>
                <w:rFonts w:hint="eastAsia" w:eastAsia="宋体"/>
                <w:lang w:val="en-GB"/>
              </w:rPr>
              <w:t>急救措施：1)查明事故原因及责任人。2)以书面形式向上级写出报告，包括发生事故时间、地点、受伤(死亡)人员姓名、 性别、年龄、工种、伤害程度、受伤部位。3)制定有效的预防措施，防止此类事故再次发生。 4)组织所有人员进行事故教育。5)向所有人员进行事故教育。</w:t>
            </w:r>
          </w:p>
          <w:p>
            <w:pPr>
              <w:spacing w:line="360" w:lineRule="auto"/>
              <w:rPr>
                <w:rFonts w:hint="eastAsia" w:eastAsia="宋体"/>
              </w:rPr>
            </w:pPr>
            <w:r>
              <w:rPr>
                <w:rFonts w:hint="eastAsia" w:eastAsia="宋体"/>
              </w:rPr>
              <w:t>填写部门：</w:t>
            </w:r>
            <w:r>
              <w:rPr>
                <w:rFonts w:hint="eastAsia" w:eastAsia="宋体"/>
                <w:lang w:eastAsia="zh-CN"/>
              </w:rPr>
              <w:t>综合部</w:t>
            </w:r>
            <w:r>
              <w:rPr>
                <w:rFonts w:hint="eastAsia" w:eastAsia="宋体"/>
              </w:rPr>
              <w:t>填写日期：</w:t>
            </w:r>
            <w:r>
              <w:rPr>
                <w:rFonts w:hint="eastAsia" w:eastAsia="宋体"/>
                <w:lang w:eastAsia="zh-CN"/>
              </w:rPr>
              <w:t>2021年</w:t>
            </w:r>
            <w:r>
              <w:rPr>
                <w:rFonts w:hint="eastAsia" w:eastAsia="宋体"/>
                <w:lang w:val="en-US" w:eastAsia="zh-CN"/>
              </w:rPr>
              <w:t>11</w:t>
            </w:r>
            <w:r>
              <w:rPr>
                <w:rFonts w:hint="eastAsia" w:eastAsia="宋体"/>
                <w:lang w:eastAsia="zh-CN"/>
              </w:rPr>
              <w:t>月</w:t>
            </w:r>
            <w:r>
              <w:rPr>
                <w:rFonts w:hint="eastAsia" w:eastAsia="宋体"/>
                <w:lang w:val="en-US" w:eastAsia="zh-CN"/>
              </w:rPr>
              <w:t>23</w:t>
            </w:r>
            <w:r>
              <w:rPr>
                <w:rFonts w:hint="eastAsia" w:eastAsia="宋体"/>
                <w:lang w:eastAsia="zh-CN"/>
              </w:rPr>
              <w:t>日</w:t>
            </w:r>
          </w:p>
          <w:p>
            <w:pPr>
              <w:spacing w:line="360" w:lineRule="auto"/>
              <w:rPr>
                <w:rFonts w:hint="eastAsia" w:eastAsia="宋体"/>
              </w:rPr>
            </w:pPr>
            <w:r>
              <w:rPr>
                <w:rFonts w:hint="eastAsia" w:eastAsia="宋体"/>
              </w:rPr>
              <w:t>提供了“应急预案评审记录”，演练后对预案适宜性充分性进行了评审，结论：预案适用无需修订。</w:t>
            </w:r>
          </w:p>
          <w:p>
            <w:pPr>
              <w:spacing w:line="360" w:lineRule="auto"/>
              <w:rPr>
                <w:rFonts w:ascii="宋体" w:hAnsi="宋体" w:cs="宋体"/>
                <w:szCs w:val="21"/>
                <w:lang w:val="en-GB"/>
              </w:rPr>
            </w:pPr>
            <w:r>
              <w:rPr>
                <w:rFonts w:hint="eastAsia" w:eastAsia="宋体"/>
                <w:lang w:val="en-GB"/>
              </w:rPr>
              <w:t xml:space="preserve">应急演练后对应急预案进行了评审，应急预案不重要修订。 </w:t>
            </w:r>
          </w:p>
        </w:tc>
        <w:tc>
          <w:tcPr>
            <w:tcW w:w="1585" w:type="dxa"/>
          </w:tcPr>
          <w:p>
            <w:pPr>
              <w:spacing w:line="360" w:lineRule="auto"/>
            </w:pPr>
          </w:p>
        </w:tc>
      </w:tr>
    </w:tbl>
    <w:p>
      <w:r>
        <w:ptab w:relativeTo="margin" w:alignment="center" w:leader="none"/>
      </w:r>
    </w:p>
    <w:p/>
    <w:p/>
    <w:p>
      <w:pPr>
        <w:pStyle w:val="6"/>
      </w:pPr>
      <w:r>
        <w:rPr>
          <w:rFonts w:hint="eastAsia"/>
        </w:rPr>
        <w:t>说明：不符合标注N</w:t>
      </w:r>
    </w:p>
    <w:p>
      <w:pPr>
        <w:rPr>
          <w:rFonts w:hint="eastAsia"/>
        </w:rPr>
      </w:pPr>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38A8C"/>
    <w:multiLevelType w:val="singleLevel"/>
    <w:tmpl w:val="33638A8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414469"/>
    <w:rsid w:val="00536930"/>
    <w:rsid w:val="00564E53"/>
    <w:rsid w:val="00644FE2"/>
    <w:rsid w:val="0067640C"/>
    <w:rsid w:val="006E678B"/>
    <w:rsid w:val="007757F3"/>
    <w:rsid w:val="007E6AEB"/>
    <w:rsid w:val="008401A5"/>
    <w:rsid w:val="00861F11"/>
    <w:rsid w:val="008973EE"/>
    <w:rsid w:val="008E5CA5"/>
    <w:rsid w:val="00971600"/>
    <w:rsid w:val="009973B4"/>
    <w:rsid w:val="009C28C1"/>
    <w:rsid w:val="009F7EED"/>
    <w:rsid w:val="00AF0AAB"/>
    <w:rsid w:val="00BF597E"/>
    <w:rsid w:val="00C51A36"/>
    <w:rsid w:val="00C55228"/>
    <w:rsid w:val="00CE315A"/>
    <w:rsid w:val="00CE7B89"/>
    <w:rsid w:val="00CF45EE"/>
    <w:rsid w:val="00D06F59"/>
    <w:rsid w:val="00D8388C"/>
    <w:rsid w:val="00EB0164"/>
    <w:rsid w:val="00ED0F62"/>
    <w:rsid w:val="00FB6645"/>
    <w:rsid w:val="01792184"/>
    <w:rsid w:val="02561596"/>
    <w:rsid w:val="02905FAB"/>
    <w:rsid w:val="03056749"/>
    <w:rsid w:val="03516B68"/>
    <w:rsid w:val="04301D26"/>
    <w:rsid w:val="05072AD8"/>
    <w:rsid w:val="05301C9E"/>
    <w:rsid w:val="059A554E"/>
    <w:rsid w:val="075B691E"/>
    <w:rsid w:val="077424A2"/>
    <w:rsid w:val="07D05C90"/>
    <w:rsid w:val="08AB2D38"/>
    <w:rsid w:val="08B35B8F"/>
    <w:rsid w:val="0A733822"/>
    <w:rsid w:val="0A76049B"/>
    <w:rsid w:val="0ACF24C8"/>
    <w:rsid w:val="0B5352E0"/>
    <w:rsid w:val="0BC016C1"/>
    <w:rsid w:val="0D822467"/>
    <w:rsid w:val="0DB53049"/>
    <w:rsid w:val="0E3A5F83"/>
    <w:rsid w:val="0EB70AFB"/>
    <w:rsid w:val="0EE47261"/>
    <w:rsid w:val="0F016E6A"/>
    <w:rsid w:val="0F4C3CF6"/>
    <w:rsid w:val="0F7A3E4E"/>
    <w:rsid w:val="0FAE6A3F"/>
    <w:rsid w:val="108219C2"/>
    <w:rsid w:val="10EF00F3"/>
    <w:rsid w:val="11027F34"/>
    <w:rsid w:val="111E0625"/>
    <w:rsid w:val="11612D9B"/>
    <w:rsid w:val="1178096B"/>
    <w:rsid w:val="117E03E3"/>
    <w:rsid w:val="11DD2155"/>
    <w:rsid w:val="120365A6"/>
    <w:rsid w:val="1281369B"/>
    <w:rsid w:val="12866648"/>
    <w:rsid w:val="137C4892"/>
    <w:rsid w:val="143B3242"/>
    <w:rsid w:val="14E704E5"/>
    <w:rsid w:val="14EF4369"/>
    <w:rsid w:val="1506722E"/>
    <w:rsid w:val="156B5C0B"/>
    <w:rsid w:val="15F242B8"/>
    <w:rsid w:val="16570580"/>
    <w:rsid w:val="17905CED"/>
    <w:rsid w:val="18314AE8"/>
    <w:rsid w:val="189B757B"/>
    <w:rsid w:val="1A307C74"/>
    <w:rsid w:val="1A3D625A"/>
    <w:rsid w:val="1AE63B2D"/>
    <w:rsid w:val="1D8955CB"/>
    <w:rsid w:val="1D9F2C02"/>
    <w:rsid w:val="1DD02468"/>
    <w:rsid w:val="1E4B58A2"/>
    <w:rsid w:val="1E543091"/>
    <w:rsid w:val="1F7B12A5"/>
    <w:rsid w:val="1F8F7BF5"/>
    <w:rsid w:val="202A1006"/>
    <w:rsid w:val="20835883"/>
    <w:rsid w:val="214E67BA"/>
    <w:rsid w:val="21560BEA"/>
    <w:rsid w:val="22C86ECF"/>
    <w:rsid w:val="23250882"/>
    <w:rsid w:val="23277943"/>
    <w:rsid w:val="23B83E1D"/>
    <w:rsid w:val="23C546A2"/>
    <w:rsid w:val="24105D3D"/>
    <w:rsid w:val="24402D36"/>
    <w:rsid w:val="24975D3F"/>
    <w:rsid w:val="24A15322"/>
    <w:rsid w:val="254501C0"/>
    <w:rsid w:val="26B62FAA"/>
    <w:rsid w:val="26E84B39"/>
    <w:rsid w:val="272D6CD8"/>
    <w:rsid w:val="2924107C"/>
    <w:rsid w:val="29966FCF"/>
    <w:rsid w:val="29F41280"/>
    <w:rsid w:val="29F5053A"/>
    <w:rsid w:val="2A877CA2"/>
    <w:rsid w:val="2AF56B7B"/>
    <w:rsid w:val="2B18314B"/>
    <w:rsid w:val="2B986BF5"/>
    <w:rsid w:val="2C154BC2"/>
    <w:rsid w:val="2C2758D3"/>
    <w:rsid w:val="2C7350E0"/>
    <w:rsid w:val="2C952E29"/>
    <w:rsid w:val="2E993699"/>
    <w:rsid w:val="2FEA3FBD"/>
    <w:rsid w:val="2FF63FA8"/>
    <w:rsid w:val="30041147"/>
    <w:rsid w:val="30B21281"/>
    <w:rsid w:val="312A1B83"/>
    <w:rsid w:val="31597D3A"/>
    <w:rsid w:val="32445E5A"/>
    <w:rsid w:val="328E2276"/>
    <w:rsid w:val="334D0890"/>
    <w:rsid w:val="33ED121E"/>
    <w:rsid w:val="341D4CD5"/>
    <w:rsid w:val="34327602"/>
    <w:rsid w:val="34A61CC3"/>
    <w:rsid w:val="35C624D3"/>
    <w:rsid w:val="37BA7AD7"/>
    <w:rsid w:val="38277DAF"/>
    <w:rsid w:val="38E16C80"/>
    <w:rsid w:val="391C32AC"/>
    <w:rsid w:val="39DF6321"/>
    <w:rsid w:val="3A3A0D76"/>
    <w:rsid w:val="3A4A193A"/>
    <w:rsid w:val="3A61549C"/>
    <w:rsid w:val="3ADF3238"/>
    <w:rsid w:val="3C060909"/>
    <w:rsid w:val="3C064FC9"/>
    <w:rsid w:val="3C3914DF"/>
    <w:rsid w:val="3C572BF9"/>
    <w:rsid w:val="3CE267FD"/>
    <w:rsid w:val="3CF96E86"/>
    <w:rsid w:val="3D811CCF"/>
    <w:rsid w:val="3DBC0C92"/>
    <w:rsid w:val="3E3E6E6C"/>
    <w:rsid w:val="3E4D3C7C"/>
    <w:rsid w:val="3E842275"/>
    <w:rsid w:val="3E931B78"/>
    <w:rsid w:val="3F682ADC"/>
    <w:rsid w:val="3F820939"/>
    <w:rsid w:val="3FD22E54"/>
    <w:rsid w:val="3FE32053"/>
    <w:rsid w:val="417D2A96"/>
    <w:rsid w:val="41BA7498"/>
    <w:rsid w:val="41D103D1"/>
    <w:rsid w:val="4273217E"/>
    <w:rsid w:val="428C2F2E"/>
    <w:rsid w:val="43486471"/>
    <w:rsid w:val="44090091"/>
    <w:rsid w:val="4431700D"/>
    <w:rsid w:val="44512A1B"/>
    <w:rsid w:val="44926B19"/>
    <w:rsid w:val="453A31F7"/>
    <w:rsid w:val="457621F3"/>
    <w:rsid w:val="45794131"/>
    <w:rsid w:val="45DD462C"/>
    <w:rsid w:val="46862D23"/>
    <w:rsid w:val="46A07FE7"/>
    <w:rsid w:val="46BC3555"/>
    <w:rsid w:val="47281D90"/>
    <w:rsid w:val="480D2A22"/>
    <w:rsid w:val="48427D12"/>
    <w:rsid w:val="48517B76"/>
    <w:rsid w:val="49575660"/>
    <w:rsid w:val="495B1697"/>
    <w:rsid w:val="49877552"/>
    <w:rsid w:val="49991B7D"/>
    <w:rsid w:val="4A5D6C22"/>
    <w:rsid w:val="4AFB201B"/>
    <w:rsid w:val="4B1B4393"/>
    <w:rsid w:val="4DB546F4"/>
    <w:rsid w:val="4E012630"/>
    <w:rsid w:val="4E650BB7"/>
    <w:rsid w:val="4E6B7EC1"/>
    <w:rsid w:val="4E8F65FF"/>
    <w:rsid w:val="4F064E15"/>
    <w:rsid w:val="4F376868"/>
    <w:rsid w:val="4F6C2A52"/>
    <w:rsid w:val="4F7F76BE"/>
    <w:rsid w:val="4FA83182"/>
    <w:rsid w:val="4FB8672C"/>
    <w:rsid w:val="4FCE1167"/>
    <w:rsid w:val="500E60D8"/>
    <w:rsid w:val="51AB1A03"/>
    <w:rsid w:val="5359055D"/>
    <w:rsid w:val="54A26B7B"/>
    <w:rsid w:val="54C811C0"/>
    <w:rsid w:val="54F02029"/>
    <w:rsid w:val="54F07714"/>
    <w:rsid w:val="56634D44"/>
    <w:rsid w:val="56B42B4A"/>
    <w:rsid w:val="56FF3E18"/>
    <w:rsid w:val="58816255"/>
    <w:rsid w:val="58A92C57"/>
    <w:rsid w:val="58CC3B54"/>
    <w:rsid w:val="58DF76EE"/>
    <w:rsid w:val="594A480D"/>
    <w:rsid w:val="59594A08"/>
    <w:rsid w:val="59A239D8"/>
    <w:rsid w:val="5B5803AC"/>
    <w:rsid w:val="5C011ECB"/>
    <w:rsid w:val="5C84782F"/>
    <w:rsid w:val="5CF039B6"/>
    <w:rsid w:val="5D420DB6"/>
    <w:rsid w:val="5D435A95"/>
    <w:rsid w:val="5DB2354F"/>
    <w:rsid w:val="5E1A09D3"/>
    <w:rsid w:val="5EA12B9A"/>
    <w:rsid w:val="5EE52C75"/>
    <w:rsid w:val="5F232846"/>
    <w:rsid w:val="5F4B7C0E"/>
    <w:rsid w:val="60527752"/>
    <w:rsid w:val="605B0C85"/>
    <w:rsid w:val="609F2885"/>
    <w:rsid w:val="61D520F5"/>
    <w:rsid w:val="637B1FF1"/>
    <w:rsid w:val="64572560"/>
    <w:rsid w:val="64727826"/>
    <w:rsid w:val="652F3FB0"/>
    <w:rsid w:val="65412805"/>
    <w:rsid w:val="655A5DA5"/>
    <w:rsid w:val="658B36F7"/>
    <w:rsid w:val="660C1021"/>
    <w:rsid w:val="662C5448"/>
    <w:rsid w:val="66AB551F"/>
    <w:rsid w:val="66B50C1D"/>
    <w:rsid w:val="671C7835"/>
    <w:rsid w:val="67415E27"/>
    <w:rsid w:val="679B349D"/>
    <w:rsid w:val="67C80950"/>
    <w:rsid w:val="67CD07F7"/>
    <w:rsid w:val="68645E27"/>
    <w:rsid w:val="68673177"/>
    <w:rsid w:val="68C62500"/>
    <w:rsid w:val="691B3B5C"/>
    <w:rsid w:val="694458CE"/>
    <w:rsid w:val="6A327846"/>
    <w:rsid w:val="6A4C600A"/>
    <w:rsid w:val="6A7C2D67"/>
    <w:rsid w:val="6B8365B5"/>
    <w:rsid w:val="6BE73F54"/>
    <w:rsid w:val="6C5D5CAD"/>
    <w:rsid w:val="6CA562AE"/>
    <w:rsid w:val="6D8A2A33"/>
    <w:rsid w:val="6D9149D0"/>
    <w:rsid w:val="6DB0052D"/>
    <w:rsid w:val="6FC74D07"/>
    <w:rsid w:val="6FD81D27"/>
    <w:rsid w:val="6FE67E7E"/>
    <w:rsid w:val="70041737"/>
    <w:rsid w:val="704214EF"/>
    <w:rsid w:val="70AC7FE9"/>
    <w:rsid w:val="71531B61"/>
    <w:rsid w:val="715C411C"/>
    <w:rsid w:val="71AA0808"/>
    <w:rsid w:val="72685795"/>
    <w:rsid w:val="727A2FD1"/>
    <w:rsid w:val="73177BC2"/>
    <w:rsid w:val="733D609C"/>
    <w:rsid w:val="734567DE"/>
    <w:rsid w:val="736D79EA"/>
    <w:rsid w:val="73A54D40"/>
    <w:rsid w:val="73CF6789"/>
    <w:rsid w:val="73F54CD8"/>
    <w:rsid w:val="746848B0"/>
    <w:rsid w:val="748E7064"/>
    <w:rsid w:val="74F239A1"/>
    <w:rsid w:val="755C6ECA"/>
    <w:rsid w:val="756954D9"/>
    <w:rsid w:val="75DA79A3"/>
    <w:rsid w:val="78FF4573"/>
    <w:rsid w:val="793B1AC8"/>
    <w:rsid w:val="797F01F4"/>
    <w:rsid w:val="79903016"/>
    <w:rsid w:val="79A4014B"/>
    <w:rsid w:val="79A95C97"/>
    <w:rsid w:val="7A544A8A"/>
    <w:rsid w:val="7A7C6425"/>
    <w:rsid w:val="7BBC2DB7"/>
    <w:rsid w:val="7C7F0075"/>
    <w:rsid w:val="7CB20B03"/>
    <w:rsid w:val="7DF81159"/>
    <w:rsid w:val="7E564500"/>
    <w:rsid w:val="7F3954F7"/>
    <w:rsid w:val="7F7C2EFE"/>
    <w:rsid w:val="7FB641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qFormat/>
    <w:uiPriority w:val="0"/>
    <w:rPr>
      <w:sz w:val="28"/>
    </w:rPr>
  </w:style>
  <w:style w:type="paragraph" w:styleId="4">
    <w:name w:val="Plain Text"/>
    <w:basedOn w:val="1"/>
    <w:qFormat/>
    <w:uiPriority w:val="0"/>
    <w:rPr>
      <w:rFonts w:ascii="宋体" w:hAnsi="Courier New"/>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customStyle="1" w:styleId="9">
    <w:name w:val="表格文字"/>
    <w:basedOn w:val="1"/>
    <w:qFormat/>
    <w:uiPriority w:val="0"/>
    <w:pPr>
      <w:spacing w:before="25" w:after="25"/>
    </w:pPr>
    <w:rPr>
      <w:bCs/>
      <w:spacing w:val="10"/>
    </w:rPr>
  </w:style>
  <w:style w:type="character" w:customStyle="1" w:styleId="10">
    <w:name w:val="页眉 字符"/>
    <w:basedOn w:val="8"/>
    <w:link w:val="2"/>
    <w:qFormat/>
    <w:uiPriority w:val="99"/>
    <w:rPr>
      <w:rFonts w:ascii="Times New Roman" w:hAnsi="Times New Roman" w:eastAsia="宋体" w:cs="Times New Roman"/>
      <w:sz w:val="18"/>
      <w:szCs w:val="18"/>
    </w:rPr>
  </w:style>
  <w:style w:type="character" w:customStyle="1" w:styleId="11">
    <w:name w:val="页脚 字符"/>
    <w:basedOn w:val="8"/>
    <w:link w:val="6"/>
    <w:qFormat/>
    <w:uiPriority w:val="99"/>
    <w:rPr>
      <w:rFonts w:ascii="Times New Roman" w:hAnsi="Times New Roman" w:eastAsia="宋体" w:cs="Times New Roman"/>
      <w:sz w:val="18"/>
      <w:szCs w:val="18"/>
    </w:rPr>
  </w:style>
  <w:style w:type="character" w:customStyle="1" w:styleId="12">
    <w:name w:val="批注框文本 字符"/>
    <w:basedOn w:val="8"/>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816</Words>
  <Characters>4653</Characters>
  <Lines>38</Lines>
  <Paragraphs>10</Paragraphs>
  <TotalTime>0</TotalTime>
  <ScaleCrop>false</ScaleCrop>
  <LinksUpToDate>false</LinksUpToDate>
  <CharactersWithSpaces>5459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2022-01-06T01:39:08Z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1E32F69DC8654CDCBCB9A72F2ABB30AF</vt:lpwstr>
  </property>
</Properties>
</file>