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1289-2021-QJEO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河北宏远电力建设有限公司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河北宏远电力建设有限公司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河北省邯郸市丛台区联兴巷8号</w:t>
            </w:r>
            <w:bookmarkEnd w:id="5"/>
          </w:p>
        </w:tc>
        <w:tc>
          <w:tcPr>
            <w:tcW w:w="1242" w:type="dxa"/>
            <w:vMerge w:val="restart"/>
            <w:vAlign w:val="center"/>
          </w:tcPr>
          <w:p>
            <w:r>
              <w:rPr>
                <w:rFonts w:hint="eastAsia"/>
              </w:rPr>
              <w:t>邮编</w:t>
            </w:r>
          </w:p>
        </w:tc>
        <w:tc>
          <w:tcPr>
            <w:tcW w:w="1771" w:type="dxa"/>
          </w:tcPr>
          <w:p>
            <w:bookmarkStart w:id="6" w:name="注册邮编"/>
            <w:r>
              <w:t>056002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河北省邯郸市丛台区联兴巷8号</w:t>
            </w:r>
            <w:bookmarkEnd w:id="7"/>
          </w:p>
        </w:tc>
        <w:tc>
          <w:tcPr>
            <w:tcW w:w="1242" w:type="dxa"/>
            <w:vMerge w:val="continue"/>
            <w:vAlign w:val="center"/>
          </w:tcPr>
          <w:p/>
        </w:tc>
        <w:tc>
          <w:tcPr>
            <w:tcW w:w="1771" w:type="dxa"/>
          </w:tcPr>
          <w:p>
            <w:bookmarkStart w:id="8" w:name="办公邮编"/>
            <w:r>
              <w:t>056002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闫晓英</w:t>
            </w:r>
            <w:bookmarkEnd w:id="9"/>
          </w:p>
        </w:tc>
        <w:tc>
          <w:tcPr>
            <w:tcW w:w="1313" w:type="dxa"/>
            <w:vAlign w:val="center"/>
          </w:tcPr>
          <w:p>
            <w:r>
              <w:rPr>
                <w:rFonts w:hint="eastAsia"/>
              </w:rPr>
              <w:t>电话.</w:t>
            </w:r>
          </w:p>
        </w:tc>
        <w:tc>
          <w:tcPr>
            <w:tcW w:w="2180" w:type="dxa"/>
            <w:vAlign w:val="center"/>
          </w:tcPr>
          <w:p>
            <w:bookmarkStart w:id="10" w:name="联系人电话"/>
            <w:r>
              <w:t>18103106687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闫群英</w:t>
            </w:r>
            <w:bookmarkEnd w:id="12"/>
          </w:p>
        </w:tc>
        <w:tc>
          <w:tcPr>
            <w:tcW w:w="1313" w:type="dxa"/>
            <w:vAlign w:val="center"/>
          </w:tcPr>
          <w:p>
            <w:r>
              <w:rPr>
                <w:rFonts w:hint="eastAsia"/>
              </w:rPr>
              <w:t>管理者代表</w:t>
            </w:r>
          </w:p>
        </w:tc>
        <w:tc>
          <w:tcPr>
            <w:tcW w:w="2180" w:type="dxa"/>
          </w:tcPr>
          <w:p>
            <w:bookmarkStart w:id="13" w:name="管理者代表"/>
            <w:r>
              <w:t>闫晓英</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pStyle w:val="2"/>
            </w:pPr>
          </w:p>
        </w:tc>
        <w:tc>
          <w:tcPr>
            <w:tcW w:w="8058" w:type="dxa"/>
            <w:gridSpan w:val="5"/>
            <w:shd w:val="clear" w:color="auto" w:fill="auto"/>
          </w:tcPr>
          <w:p>
            <w:r>
              <w:rPr>
                <w:rFonts w:hint="eastAsia" w:ascii="Times New Roman" w:hAnsi="Times New Roman" w:eastAsia="宋体" w:cs="Times New Roman"/>
                <w:b/>
                <w:sz w:val="20"/>
                <w:lang w:val="en-US" w:eastAsia="zh-CN"/>
              </w:rPr>
              <w:t>施工准备-材料设备进场-施工过程控制-分部分项工程验收-竣工预验收-竣工验收-工程交付-保修服务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2022年01月0</w:t>
            </w:r>
            <w:r>
              <w:rPr>
                <w:rFonts w:hint="eastAsia"/>
                <w:lang w:val="en-US" w:eastAsia="zh-CN"/>
              </w:rPr>
              <w:t>6</w:t>
            </w:r>
            <w:r>
              <w:rPr>
                <w:rFonts w:hint="eastAsia"/>
              </w:rPr>
              <w:t>日 下午至2022年01月0</w:t>
            </w:r>
            <w:r>
              <w:rPr>
                <w:rFonts w:hint="eastAsia"/>
                <w:lang w:val="en-US" w:eastAsia="zh-CN"/>
              </w:rPr>
              <w:t>9</w:t>
            </w:r>
            <w:r>
              <w:rPr>
                <w:rFonts w:hint="eastAsia"/>
              </w:rPr>
              <w:t>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6" w:name="办公地址"/>
            <w:r>
              <w:rPr>
                <w:rFonts w:ascii="宋体"/>
                <w:b/>
                <w:color w:val="000000"/>
                <w:szCs w:val="21"/>
              </w:rPr>
              <w:t>河北省邯郸市丛台区联兴巷8号</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EC：资质范围内房屋建筑施工总承包、电力工程施工总承包、不分专业施工劳务服务、资质范围内的承装（修、试）电力设施服务</w:t>
            </w:r>
          </w:p>
          <w:p>
            <w:r>
              <w:t>E：资质范围内房屋建筑施工总承包、电力工程施工总承包、不分专业施工劳务服务、资质范围内的承装（修、试）电力设施服务所涉及场所的相关环境管理活动</w:t>
            </w:r>
          </w:p>
          <w:p>
            <w:r>
              <w:t>O：资质范围内房屋建筑施工总承包、电力工程施工总承包、不分专业施工劳务服务、资质范围内的承装（修、试）电力设施服务所涉及场所的相关职业健康安全管理活动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EC：28.02.00;28.04.02;35.11.00</w:t>
            </w:r>
          </w:p>
          <w:p>
            <w:r>
              <w:t>E：28.02.00;28.04.02;35.11.00</w:t>
            </w:r>
          </w:p>
          <w:p>
            <w:r>
              <w:t>O：28.02.00;28.04.02;35.11.00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pPr w:leftFromText="180" w:rightFromText="180" w:vertAnchor="text" w:horzAnchor="page" w:tblpX="1136" w:tblpY="335"/>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1621"/>
        <w:gridCol w:w="670"/>
        <w:gridCol w:w="2409"/>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7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tcPr>
          <w:p>
            <w:pPr>
              <w:spacing w:before="40" w:after="40"/>
              <w:rPr>
                <w:rFonts w:hint="eastAsia" w:eastAsia="黑体"/>
                <w:szCs w:val="21"/>
                <w:lang w:val="de-DE" w:eastAsia="ja-JP"/>
              </w:rPr>
            </w:pPr>
            <w:r>
              <w:rPr>
                <w:rFonts w:hint="eastAsia" w:eastAsia="黑体"/>
                <w:szCs w:val="21"/>
                <w:lang w:val="de-DE" w:eastAsia="ja-JP"/>
              </w:rPr>
              <w:t>河北宏远电力建设有限公司</w:t>
            </w:r>
          </w:p>
          <w:p>
            <w:pPr>
              <w:spacing w:before="40" w:after="40"/>
              <w:rPr>
                <w:rFonts w:eastAsia="黑体"/>
                <w:szCs w:val="21"/>
                <w:lang w:val="de-DE" w:eastAsia="ja-JP"/>
              </w:rPr>
            </w:pPr>
            <w:r>
              <w:rPr>
                <w:rFonts w:hint="eastAsia" w:eastAsia="黑体"/>
                <w:szCs w:val="21"/>
                <w:lang w:val="de-DE" w:eastAsia="ja-JP"/>
              </w:rPr>
              <w:t>河北省邯郸市丛台区联兴巷8号</w:t>
            </w:r>
          </w:p>
        </w:tc>
        <w:tc>
          <w:tcPr>
            <w:tcW w:w="1621" w:type="dxa"/>
          </w:tcPr>
          <w:p>
            <w:pPr>
              <w:spacing w:before="40" w:after="40"/>
              <w:rPr>
                <w:rFonts w:eastAsia="黑体"/>
                <w:szCs w:val="21"/>
                <w:lang w:val="de-DE" w:eastAsia="ja-JP"/>
              </w:rPr>
            </w:pPr>
            <w:r>
              <w:rPr>
                <w:rFonts w:hint="eastAsia" w:eastAsia="黑体"/>
                <w:szCs w:val="21"/>
                <w:lang w:val="de-DE" w:eastAsia="ja-JP"/>
              </w:rPr>
              <w:t>河北省邯郸市丛台区联兴巷8号</w:t>
            </w:r>
          </w:p>
        </w:tc>
        <w:tc>
          <w:tcPr>
            <w:tcW w:w="670" w:type="dxa"/>
            <w:vAlign w:val="center"/>
          </w:tcPr>
          <w:p>
            <w:pPr>
              <w:spacing w:before="40" w:after="40"/>
              <w:rPr>
                <w:rFonts w:hint="default" w:eastAsia="黑体"/>
                <w:szCs w:val="21"/>
                <w:lang w:val="en-US" w:eastAsia="zh-CN"/>
              </w:rPr>
            </w:pPr>
            <w:r>
              <w:rPr>
                <w:rFonts w:hint="eastAsia" w:eastAsia="黑体"/>
                <w:szCs w:val="21"/>
                <w:lang w:val="en-US" w:eastAsia="zh-CN"/>
              </w:rPr>
              <w:t>43</w:t>
            </w:r>
          </w:p>
        </w:tc>
        <w:tc>
          <w:tcPr>
            <w:tcW w:w="2409" w:type="dxa"/>
            <w:vAlign w:val="center"/>
          </w:tcPr>
          <w:p>
            <w:pPr>
              <w:pStyle w:val="20"/>
              <w:rPr>
                <w:rFonts w:eastAsia="黑体" w:cs="Arial"/>
                <w:sz w:val="21"/>
                <w:szCs w:val="21"/>
                <w:lang w:val="en-US" w:eastAsia="ja-JP"/>
              </w:rPr>
            </w:pPr>
            <w:r>
              <w:rPr>
                <w:sz w:val="21"/>
                <w:szCs w:val="21"/>
              </w:rPr>
              <w:t>资质范围内房屋建筑施工总承包、电力工程施工总承包、不分专业施工劳务服务、资质范围内的承装（修、试）电力设施服务</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1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910" w:type="dxa"/>
            <w:vAlign w:val="center"/>
          </w:tcPr>
          <w:p>
            <w:r>
              <w:rPr>
                <w:rFonts w:hint="eastAsia"/>
              </w:rPr>
              <w:t>审核员注册证书号</w:t>
            </w:r>
          </w:p>
        </w:tc>
        <w:tc>
          <w:tcPr>
            <w:tcW w:w="313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2910" w:type="dxa"/>
            <w:vAlign w:val="center"/>
          </w:tcPr>
          <w:p>
            <w:r>
              <w:t>2019-N1QMS-1244880</w:t>
            </w:r>
          </w:p>
          <w:p>
            <w:r>
              <w:t>2021-N1EMS-1244880</w:t>
            </w:r>
          </w:p>
        </w:tc>
        <w:tc>
          <w:tcPr>
            <w:tcW w:w="3139" w:type="dxa"/>
            <w:vAlign w:val="center"/>
          </w:tcPr>
          <w:p>
            <w:r>
              <w:t>EC:28.02.00,28.04.02,35.11.00</w:t>
            </w:r>
          </w:p>
          <w:p>
            <w:r>
              <w:t>E:28.02.00,28.04.02</w:t>
            </w:r>
          </w:p>
          <w:p>
            <w:r>
              <w:t>O:28.02.00,28.04.02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2910" w:type="dxa"/>
            <w:vAlign w:val="center"/>
          </w:tcPr>
          <w:p>
            <w:r>
              <w:t>2021-N1QMS-2222792</w:t>
            </w:r>
          </w:p>
          <w:p>
            <w:r>
              <w:t>2021-N1EMS-2222792</w:t>
            </w:r>
          </w:p>
          <w:p>
            <w:r>
              <w:t>2021-N1OHSMS-2222792</w:t>
            </w:r>
          </w:p>
        </w:tc>
        <w:tc>
          <w:tcPr>
            <w:tcW w:w="3139" w:type="dxa"/>
            <w:vAlign w:val="center"/>
          </w:tcPr>
          <w:p>
            <w:r>
              <w:t>EC:28.02.00</w:t>
            </w:r>
          </w:p>
          <w:p>
            <w:r>
              <w:t>E:28.02.00,28.04.02,35.11.00</w:t>
            </w:r>
          </w:p>
          <w:p>
            <w:r>
              <w:t>O:28.02.00,28.04.02,35.11.00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2910" w:type="dxa"/>
            <w:vAlign w:val="center"/>
          </w:tcPr>
          <w:p>
            <w:r>
              <w:t>2020-N1EMS-3022240</w:t>
            </w:r>
          </w:p>
          <w:p>
            <w:r>
              <w:t>2020-N1OHSMS-3022240</w:t>
            </w:r>
          </w:p>
        </w:tc>
        <w:tc>
          <w:tcPr>
            <w:tcW w:w="3139" w:type="dxa"/>
            <w:vAlign w:val="center"/>
          </w:tcPr>
          <w:p>
            <w:r>
              <w:t>E:35.11.00</w:t>
            </w:r>
          </w:p>
          <w:p>
            <w:r>
              <w:t>O:35.11.00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2910" w:type="dxa"/>
            <w:vAlign w:val="center"/>
          </w:tcPr>
          <w:p>
            <w:r>
              <w:t>2020-N1EMS-1262293</w:t>
            </w:r>
          </w:p>
          <w:p>
            <w:r>
              <w:t>2021-N1OHSMS-1262293</w:t>
            </w:r>
          </w:p>
        </w:tc>
        <w:tc>
          <w:tcPr>
            <w:tcW w:w="313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910" w:type="dxa"/>
            <w:vAlign w:val="center"/>
          </w:tcPr>
          <w:p>
            <w:r>
              <w:rPr>
                <w:rFonts w:hint="eastAsia"/>
              </w:rPr>
              <w:t>工作单位</w:t>
            </w:r>
          </w:p>
        </w:tc>
        <w:tc>
          <w:tcPr>
            <w:tcW w:w="313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910" w:type="dxa"/>
            <w:vAlign w:val="center"/>
          </w:tcPr>
          <w:p/>
        </w:tc>
        <w:tc>
          <w:tcPr>
            <w:tcW w:w="313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748665</wp:posOffset>
                  </wp:positionH>
                  <wp:positionV relativeFrom="paragraph">
                    <wp:posOffset>-28575</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20115" cy="44323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-51435</wp:posOffset>
                  </wp:positionH>
                  <wp:positionV relativeFrom="paragraph">
                    <wp:posOffset>17780</wp:posOffset>
                  </wp:positionV>
                  <wp:extent cx="812800" cy="344170"/>
                  <wp:effectExtent l="0" t="0" r="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12800" cy="3441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default" w:ascii="Times New Roman" w:hAnsi="Times New Roman" w:eastAsia="宋体" w:cs="Times New Roman"/>
                <w:b/>
                <w:bCs/>
                <w:color w:val="000000"/>
                <w:kern w:val="0"/>
                <w:sz w:val="24"/>
                <w:szCs w:val="24"/>
              </w:rPr>
              <w:t>质量第一、精品名牌；预防为主，规范作业；营造绿色，追求环保；坚持持续改进，不断为顾客提供满意的产品，实现社会和员工满意的环境和健康安全绩效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工程技术部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41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pPr>
                    <w:shd w:val="clear" w:color="auto" w:fill="C7DAF1" w:themeFill="text2" w:themeFillTint="32"/>
                  </w:pPr>
                  <w:r>
                    <w:rPr>
                      <w:rFonts w:hint="eastAsia"/>
                    </w:rPr>
                    <w:t>主要的风险或机遇描述</w:t>
                  </w:r>
                </w:p>
              </w:tc>
              <w:tc>
                <w:tcPr>
                  <w:tcW w:w="416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工程质量验收一次性合格率大于9</w:t>
                  </w:r>
                  <w:r>
                    <w:rPr>
                      <w:rFonts w:hint="eastAsia" w:ascii="宋体" w:hAnsi="宋体"/>
                      <w:szCs w:val="21"/>
                      <w:lang w:val="en-US" w:eastAsia="zh-CN"/>
                    </w:rPr>
                    <w:t>0</w:t>
                  </w:r>
                  <w:r>
                    <w:rPr>
                      <w:rFonts w:hint="eastAsia" w:ascii="宋体" w:hAnsi="宋体"/>
                      <w:szCs w:val="21"/>
                    </w:rPr>
                    <w:t>%</w:t>
                  </w: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工程技术部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顾客满意率大于9</w:t>
                  </w:r>
                  <w:r>
                    <w:rPr>
                      <w:rFonts w:hint="eastAsia" w:ascii="宋体" w:hAnsi="宋体"/>
                      <w:szCs w:val="21"/>
                      <w:lang w:val="en-US" w:eastAsia="zh-CN"/>
                    </w:rPr>
                    <w:t>0</w:t>
                  </w:r>
                  <w:r>
                    <w:rPr>
                      <w:rFonts w:hint="eastAsia" w:ascii="宋体" w:hAnsi="宋体"/>
                      <w:szCs w:val="21"/>
                    </w:rPr>
                    <w:t>%</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宋体" w:hAnsi="Times New Roman" w:eastAsia="宋体" w:cs="Times New Roman"/>
                      <w:kern w:val="0"/>
                      <w:sz w:val="21"/>
                      <w:szCs w:val="24"/>
                      <w:lang w:val="zh-CN" w:eastAsia="zh-CN" w:bidi="ar-SA"/>
                    </w:rPr>
                  </w:pPr>
                  <w:r>
                    <w:rPr>
                      <w:rFonts w:hint="eastAsia" w:ascii="宋体" w:hAnsi="宋体"/>
                      <w:szCs w:val="21"/>
                    </w:rPr>
                    <w:t>工程合同履约率100%</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zh-CN"/>
                    </w:rPr>
                    <w:t>工程合同及时履约次数/工程总合同数*100%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w:t>
            </w:r>
            <w:r>
              <w:rPr>
                <w:rFonts w:hint="eastAsia"/>
                <w:lang w:val="en-US" w:eastAsia="zh-CN"/>
              </w:rPr>
              <w:t>办公楼1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szCs w:val="21"/>
              </w:rPr>
              <w:t>交流电焊机、充电式电动角磨机、充电式电动扳手、充电式马刀锯、充电式电锤</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楷体" w:hAnsi="楷体" w:eastAsia="楷体" w:cs="楷体"/>
                <w:szCs w:val="21"/>
              </w:rPr>
              <w:t>数字兆欧表、经纬仪、测绘仪、水平尺</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施工服务</w:t>
                  </w:r>
                </w:p>
              </w:tc>
              <w:tc>
                <w:tcPr>
                  <w:tcW w:w="3665" w:type="dxa"/>
                </w:tcPr>
                <w:p>
                  <w:pPr>
                    <w:shd w:val="clear" w:color="auto" w:fill="C7DAF1" w:themeFill="text2" w:themeFillTint="32"/>
                    <w:jc w:val="left"/>
                  </w:pPr>
                  <w:r>
                    <w:rPr>
                      <w:rFonts w:hint="eastAsia" w:ascii="楷体" w:hAnsi="楷体" w:eastAsia="楷体" w:cs="楷体"/>
                      <w:szCs w:val="21"/>
                      <w:u w:val="single"/>
                    </w:rPr>
                    <w:t>方案审批、设备安装、工程施工、机电安装、过程检验、竣工验收</w:t>
                  </w:r>
                </w:p>
              </w:tc>
              <w:tc>
                <w:tcPr>
                  <w:tcW w:w="3265" w:type="dxa"/>
                </w:tcPr>
                <w:p>
                  <w:pPr>
                    <w:shd w:val="clear" w:color="auto" w:fill="C7DAF1" w:themeFill="text2" w:themeFillTint="32"/>
                    <w:jc w:val="left"/>
                  </w:pPr>
                  <w:r>
                    <w:rPr>
                      <w:rFonts w:hint="eastAsia"/>
                      <w:color w:val="000000"/>
                      <w:u w:val="singl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b/>
                <w:sz w:val="20"/>
                <w:lang w:val="en-US" w:eastAsia="zh-CN"/>
              </w:rPr>
              <w:t>电力设施维修、输变电设施安装、电力设施安装、商砼浇筑、电缆护管定向穿越、焊接</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eastAsia="宋体"/>
                <w:lang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r>
              <w:rPr>
                <w:rFonts w:hint="eastAsia"/>
                <w:lang w:eastAsia="zh-CN"/>
              </w:rPr>
              <w:t>，</w:t>
            </w:r>
            <w:r>
              <w:rPr>
                <w:rFonts w:hint="eastAsia" w:ascii="方正仿宋简体" w:eastAsia="方正仿宋简体"/>
                <w:b/>
                <w:lang w:val="en-US" w:eastAsia="zh-CN"/>
              </w:rPr>
              <w:t>建项目现场，配电柜门板倚靠在已安装的进线控制柜上，并按压住控制按钮，未有安全警示。</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rPr>
                <w:rFonts w:hint="eastAsia"/>
              </w:rPr>
            </w:pPr>
            <w:r>
              <w:rPr>
                <w:rFonts w:hint="eastAsia"/>
              </w:rPr>
              <w:t>针对顾客不满意的问题进行了分析和改进。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10-12</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u w:val="single"/>
              </w:rPr>
            </w:pPr>
            <w:r>
              <w:rPr>
                <w:rFonts w:hint="default" w:ascii="Times New Roman" w:hAnsi="Times New Roman" w:eastAsia="宋体" w:cs="Times New Roman"/>
                <w:b/>
                <w:bCs/>
                <w:color w:val="000000"/>
                <w:kern w:val="0"/>
                <w:sz w:val="24"/>
                <w:szCs w:val="24"/>
              </w:rPr>
              <w:t>质量第一、精品名牌；预防为主，规范作业；营造绿色，追求环保；坚持持续改进，不断为顾客提供满意的产品，实现社会和员工满意的环境和健康安全绩效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41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hd w:val="clear" w:color="auto" w:fill="EBF1DE" w:themeFill="accent3" w:themeFillTint="32"/>
                  </w:pPr>
                  <w:r>
                    <w:rPr>
                      <w:rFonts w:hint="eastAsia"/>
                    </w:rPr>
                    <w:t>主要的风险或机遇描述</w:t>
                  </w:r>
                </w:p>
              </w:tc>
              <w:tc>
                <w:tcPr>
                  <w:tcW w:w="41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11"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土方、渣土排放等固体废弃物</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扬尘、废气</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lang w:val="en-US" w:eastAsia="zh-CN"/>
                    </w:rPr>
                    <w:t>施工区域噪声投诉和处罚事件为0</w:t>
                  </w:r>
                </w:p>
              </w:tc>
              <w:tc>
                <w:tcPr>
                  <w:tcW w:w="3136"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工程技术部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工程技术部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工程技术部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2000</w:t>
            </w:r>
            <w:r>
              <w:rPr>
                <w:rFonts w:hint="eastAsia"/>
              </w:rPr>
              <w:t>平方米；</w:t>
            </w:r>
            <w:r>
              <w:rPr>
                <w:rFonts w:hint="eastAsia"/>
                <w:lang w:val="en-US" w:eastAsia="zh-CN"/>
              </w:rPr>
              <w:t>办公楼1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楷体" w:hAnsi="楷体" w:eastAsia="楷体" w:cs="楷体"/>
                <w:szCs w:val="21"/>
              </w:rPr>
              <w:t>交流电焊机、充电式电动角磨机、充电式电动扳手、充电式马刀锯、充电式电锤</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592" w:type="dxa"/>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pPr>
                  <w:r>
                    <w:rPr>
                      <w:rFonts w:hint="eastAsia"/>
                    </w:rPr>
                    <w:t>粉尘排放</w:t>
                  </w:r>
                </w:p>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tcBorders/>
                </w:tcPr>
                <w:p>
                  <w:pPr>
                    <w:shd w:val="clear" w:color="auto" w:fill="EBF1DE" w:themeFill="accent3" w:themeFillTint="32"/>
                    <w:jc w:val="left"/>
                    <w:rPr>
                      <w:rFonts w:hint="default" w:eastAsia="宋体"/>
                      <w:lang w:val="en-US" w:eastAsia="zh-CN"/>
                    </w:rPr>
                  </w:pPr>
                  <w:r>
                    <w:rPr>
                      <w:rFonts w:hint="eastAsia"/>
                      <w:lang w:val="en-US" w:eastAsia="zh-CN"/>
                    </w:rPr>
                    <w:t>可行</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方正仿宋简体" w:eastAsia="方正仿宋简体"/>
                <w:b/>
                <w:lang w:val="en-US" w:eastAsia="zh-CN"/>
              </w:rPr>
              <w:t>建项目现场，配电柜门板倚靠在已安装的进线控制柜上，并按压住控制按钮，未有安全警示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10-12</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u w:val="single"/>
              </w:rPr>
            </w:pPr>
            <w:r>
              <w:rPr>
                <w:rFonts w:hint="default" w:ascii="Times New Roman" w:hAnsi="Times New Roman" w:eastAsia="宋体" w:cs="Times New Roman"/>
                <w:b/>
                <w:bCs/>
                <w:color w:val="000000"/>
                <w:kern w:val="0"/>
                <w:sz w:val="24"/>
                <w:szCs w:val="24"/>
              </w:rPr>
              <w:t>质量第一、精品名牌；预防为主，规范作业；营造绿色，追求环保；坚持持续改进，不断为顾客提供满意的产品，实现社会和员工满意的环境和健康安全绩效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工程技术部</w:t>
            </w:r>
          </w:p>
          <w:p>
            <w:r>
              <w:rPr>
                <w:rFonts w:hint="eastAsia"/>
              </w:rPr>
              <w:t>安全的主管部门是——</w:t>
            </w:r>
            <w:r>
              <w:rPr>
                <w:rFonts w:hint="eastAsia"/>
                <w:lang w:val="en-US" w:eastAsia="zh-CN"/>
              </w:rPr>
              <w:t>工程技术部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王明茹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行政人员的工作压力排解和舒缓</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组织户外旅游等内容进行工作压力的缓解。</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szCs w:val="24"/>
                      <w:lang w:val="en-US" w:eastAsia="zh-CN" w:bidi="ar-SA"/>
                    </w:rPr>
                  </w:pPr>
                  <w:r>
                    <w:rPr>
                      <w:rFonts w:hint="eastAsia" w:ascii="宋体" w:hAnsi="宋体"/>
                      <w:szCs w:val="21"/>
                    </w:rPr>
                    <w:t>杜绝死亡</w:t>
                  </w:r>
                  <w:r>
                    <w:rPr>
                      <w:rFonts w:hint="eastAsia" w:ascii="宋体" w:hAnsi="宋体"/>
                      <w:szCs w:val="21"/>
                      <w:lang w:eastAsia="zh-CN"/>
                    </w:rPr>
                    <w:t>、</w:t>
                  </w:r>
                  <w:r>
                    <w:rPr>
                      <w:rFonts w:hint="eastAsia" w:ascii="宋体" w:hAnsi="宋体"/>
                      <w:szCs w:val="21"/>
                      <w:lang w:val="en-US" w:eastAsia="zh-CN"/>
                    </w:rPr>
                    <w:t>重伤事故</w:t>
                  </w:r>
                </w:p>
              </w:tc>
              <w:tc>
                <w:tcPr>
                  <w:tcW w:w="3136"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lang w:val="en-US" w:eastAsia="zh-CN"/>
                    </w:rPr>
                    <w:t>工程技术部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火灾事故发生为0</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工程技术部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szCs w:val="24"/>
                      <w:lang w:val="en-US" w:eastAsia="zh-CN" w:bidi="ar-SA"/>
                    </w:rPr>
                  </w:pPr>
                  <w:r>
                    <w:rPr>
                      <w:rFonts w:hint="eastAsia" w:ascii="宋体" w:hAnsi="宋体"/>
                      <w:szCs w:val="21"/>
                      <w:lang w:val="en-US" w:eastAsia="zh-CN"/>
                    </w:rPr>
                    <w:t>坍塌、触电、交通事故发生为0</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工程技术部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2000</w:t>
            </w:r>
            <w:r>
              <w:rPr>
                <w:rFonts w:hint="eastAsia"/>
              </w:rPr>
              <w:t>平方米；</w:t>
            </w:r>
            <w:r>
              <w:rPr>
                <w:rFonts w:hint="eastAsia"/>
                <w:lang w:val="en-US" w:eastAsia="zh-CN"/>
              </w:rPr>
              <w:t>办公楼1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楷体" w:hAnsi="楷体" w:eastAsia="楷体" w:cs="楷体"/>
                <w:szCs w:val="21"/>
              </w:rPr>
              <w:t>交流电焊机、充电式电动角磨机、充电式电动扳手、充电式马刀锯、充电式电锤</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bookmarkStart w:id="31" w:name="_GoBack"/>
            <w:bookmarkEnd w:id="31"/>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方正仿宋简体" w:eastAsia="方正仿宋简体"/>
                <w:b/>
                <w:lang w:val="en-US" w:eastAsia="zh-CN"/>
              </w:rPr>
              <w:t>查看在建项目——现场，电缆井盖未覆盖或配置警示标识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10-12</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357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2022-02-25T10:28:43Z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