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刘涛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胡念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2022-01-20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pStyle w:val="14"/>
              <w:spacing w:after="0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EMS  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6.1.2，6.1.3，6.1.4，6.2，8.1，8.2，9.1.1，9.1.2，10.2</w:t>
            </w:r>
          </w:p>
          <w:p>
            <w:pPr>
              <w:pStyle w:val="14"/>
              <w:spacing w:after="0"/>
              <w:rPr>
                <w:rFonts w:hint="default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           OHSMS 6.1.2，6.1.3，6.1.4，6.2，8.1，8.2，9.1.1，9.1.2，10.2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固体废弃物分类处置率100%</w:t>
                  </w:r>
                  <w:r>
                    <w:rPr>
                      <w:rFonts w:hint="eastAsia"/>
                      <w:sz w:val="24"/>
                      <w:szCs w:val="24"/>
                    </w:rPr>
                    <w:t>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——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sz w:val="22"/>
                <w:szCs w:val="28"/>
              </w:rPr>
              <w:t>环境因素和危险源识别评价与控制程序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组织在识别环境因素和相关的环境影响时，需考虑非正常情况、潜在的紧急情况和全生命周期。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环境因素识别考虑了下列过程：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设计开发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原材料采购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生产/服务提供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产品检测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产品交付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产品使用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最终处置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组织的环境因素包括：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能源资源消耗：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天然气（食堂）   </w:t>
            </w:r>
          </w:p>
          <w:p>
            <w:pPr>
              <w:ind w:firstLine="1680" w:firstLineChars="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危险化学品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引起的环境影响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泄露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燃烧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爆炸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评价重要环境因素的准则：《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重要环境因素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317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1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危废排放（硒鼓、墨盒）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交由有资质的第三方处理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灭火器和消防栓；应急演练；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合规义务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E6.1.3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手册第6.1.3条款、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sz w:val="22"/>
                <w:szCs w:val="28"/>
              </w:rPr>
              <w:t>环境和职业健康安全法律法规控制程序</w:t>
            </w:r>
            <w:r>
              <w:rPr>
                <w:rFonts w:hint="eastAsia"/>
                <w:lang w:val="en-US" w:eastAsia="zh-CN"/>
              </w:rPr>
              <w:t>》、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《法律法规其他要求清单》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</w:t>
            </w:r>
            <w:r>
              <w:rPr>
                <w:rFonts w:hint="eastAsia"/>
                <w:vertAlign w:val="baseline"/>
                <w:lang w:val="en-US" w:eastAsia="zh-CN"/>
              </w:rPr>
              <w:t>收集法律法规和其他要求的渠道：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专业网站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主管机构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专业书店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列举主要的相关法律法规</w:t>
            </w:r>
            <w:r>
              <w:rPr>
                <w:rFonts w:hint="eastAsia"/>
                <w:vertAlign w:val="baseline"/>
                <w:lang w:eastAsia="zh-CN"/>
              </w:rPr>
              <w:t>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671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法律法规名称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具体条款</w:t>
                  </w:r>
                </w:p>
              </w:tc>
              <w:tc>
                <w:tcPr>
                  <w:tcW w:w="167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环境保护法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消防法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火灾控制 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危险废物名录2021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危废处理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江西省消防条例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未分析到各条款</w:t>
                  </w: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不涉及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有效期至：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年  月   日</w:t>
            </w:r>
          </w:p>
          <w:p>
            <w:pPr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default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《环境影响报告书》（详见一阶段审核记录）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现有产量与环评的产能的对比</w:t>
            </w:r>
            <w:r>
              <w:rPr>
                <w:rFonts w:hint="eastAsia"/>
                <w:b/>
                <w:bCs/>
                <w:color w:val="000000"/>
                <w:szCs w:val="18"/>
                <w:lang w:val="en-US" w:eastAsia="zh-CN"/>
              </w:rPr>
              <w:t>——不涉及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E6.1.4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如：手册第6.1.4条款、《管理方案》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组织针对</w:t>
            </w:r>
            <w:r>
              <w:rPr>
                <w:rFonts w:hint="eastAsia"/>
                <w:lang w:val="en-US" w:eastAsia="zh-CN"/>
              </w:rPr>
              <w:t>重要环境因素、合规义务、风险和机遇制订了控制措施（管理方案）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1570"/>
              <w:gridCol w:w="372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类别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危废排放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交由有资质的第三方处理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灭火器和消防栓；应急演练；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同上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同上</w:t>
                  </w:r>
                </w:p>
              </w:tc>
              <w:tc>
                <w:tcPr>
                  <w:tcW w:w="15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风险和机遇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1579"/>
              <w:gridCol w:w="1334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33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消防控制预案</w:t>
                  </w:r>
                </w:p>
              </w:tc>
              <w:tc>
                <w:tcPr>
                  <w:tcW w:w="133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《应急预案》在当地环保部门的备案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如：《监视、测量、分析和评价控制程序》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能源消耗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污染物浓度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危化品管理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特种设备管理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持证上岗人员管理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废物回收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污染物处理监控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消防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没有与供方签订EHS协议，——已和企业沟通进一步完善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灭火器和消防栓的定期检查，2021年1~12月均有消防栓检查，没有消防栓的内容——已和企业沟通进一步完善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《合规性评价控制程序》、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1468"/>
              <w:gridCol w:w="2253"/>
              <w:gridCol w:w="3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25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352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zCs w:val="21"/>
                    </w:rPr>
                    <w:t>中华人民共和国消防法</w:t>
                  </w:r>
                </w:p>
              </w:tc>
              <w:tc>
                <w:tcPr>
                  <w:tcW w:w="146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2021-9-28</w:t>
                  </w:r>
                </w:p>
              </w:tc>
              <w:tc>
                <w:tcPr>
                  <w:tcW w:w="22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如：《不符合和纠正措施控制程序》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不符合的来源：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相关方投诉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环保事故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 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O6.1.2.1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组织在</w:t>
            </w:r>
            <w:r>
              <w:rPr>
                <w:rFonts w:hint="eastAsia"/>
                <w:vertAlign w:val="baseline"/>
                <w:lang w:val="en-US" w:eastAsia="zh-CN"/>
              </w:rPr>
              <w:t>辨识危险源</w:t>
            </w:r>
            <w:r>
              <w:rPr>
                <w:rFonts w:hint="eastAsia"/>
                <w:vertAlign w:val="baseline"/>
              </w:rPr>
              <w:t>和相关的</w:t>
            </w:r>
            <w:r>
              <w:rPr>
                <w:rFonts w:hint="eastAsia"/>
                <w:vertAlign w:val="baseline"/>
                <w:lang w:val="en-US" w:eastAsia="zh-CN"/>
              </w:rPr>
              <w:t>职业健康安全风险</w:t>
            </w:r>
            <w:r>
              <w:rPr>
                <w:rFonts w:hint="eastAsia"/>
                <w:vertAlign w:val="baseline"/>
              </w:rPr>
              <w:t>时，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</w:rPr>
              <w:t>考虑</w:t>
            </w:r>
            <w:r>
              <w:rPr>
                <w:rFonts w:hint="eastAsia"/>
                <w:vertAlign w:val="baseline"/>
                <w:lang w:val="en-US" w:eastAsia="zh-CN"/>
              </w:rPr>
              <w:t>下列因素：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社会因素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领导作用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组织的文化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常规活动和状况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非常规活动和状况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内部</w:t>
            </w:r>
            <w:r>
              <w:rPr>
                <w:highlight w:val="none"/>
              </w:rPr>
              <w:t>或</w:t>
            </w:r>
            <w:r>
              <w:rPr>
                <w:rFonts w:hint="eastAsia"/>
                <w:highlight w:val="none"/>
              </w:rPr>
              <w:t>外部以往发生的相关事件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</w:rPr>
              <w:t>潜在的紧急情况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内部员工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相关方人员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工作场所附近</w:t>
            </w:r>
            <w:r>
              <w:rPr>
                <w:highlight w:val="none"/>
              </w:rPr>
              <w:t>的状况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实际或拟定的变更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</w:rPr>
              <w:t>危险源的知识和相关信息的变更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危险源辨识考虑了下列过程：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设计开发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原材料采购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生产/服务提供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产品检测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产品储存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产品交付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辅助活动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公用工程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组织的重要危险源包括：    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317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31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人员烧伤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灭火器、消防栓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人员伤亡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漏电保护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组织的重要危险源包括：</w:t>
            </w: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  <w:lang w:val="en-US" w:eastAsia="zh-CN"/>
              </w:rPr>
              <w:t>》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重要危险源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3327"/>
              <w:gridCol w:w="1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77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设备漏电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做好接地、接零、漏电、绝缘、防火防爆等措施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烧伤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消防设施、日常检查、定期检测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职业健康安全风险和职业健康安全管理体系的其他风险的评价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如：手册第6.1.4条款、《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职业健康安全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风险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和职业健康安全管理体系的其他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风险控制程序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6"/>
              <w:tblW w:w="86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177"/>
              <w:gridCol w:w="19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职业健康安全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</w:t>
                  </w:r>
                </w:p>
              </w:tc>
              <w:tc>
                <w:tcPr>
                  <w:tcW w:w="417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评价已辨识的危险源职业健康安全风险</w:t>
                  </w:r>
                </w:p>
              </w:tc>
              <w:tc>
                <w:tcPr>
                  <w:tcW w:w="41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制订和实施控制程序和安全操作规程；定期检查；有问题及时整改</w:t>
                  </w: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评价</w:t>
                  </w:r>
                  <w:r>
                    <w:rPr>
                      <w:rFonts w:hint="eastAsia"/>
                      <w:highlight w:val="none"/>
                    </w:rPr>
                    <w:t>现有控制的有效性</w:t>
                  </w:r>
                </w:p>
              </w:tc>
              <w:tc>
                <w:tcPr>
                  <w:tcW w:w="41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目前控制措施有效</w:t>
                  </w: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</w:t>
                  </w:r>
                </w:p>
              </w:tc>
              <w:tc>
                <w:tcPr>
                  <w:tcW w:w="41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支持部门制订和实施控制程序</w:t>
                  </w: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41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pStyle w:val="15"/>
              <w:numPr>
                <w:ilvl w:val="4"/>
                <w:numId w:val="0"/>
              </w:num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职业健康安全机遇和职业健康安全管理体系的其他机遇的评价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O6.1.2.3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职业健康安全机遇和职业健康安全管理体系的其他机遇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  <w:tbl>
            <w:tblPr>
              <w:tblStyle w:val="6"/>
              <w:tblW w:w="86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447"/>
              <w:gridCol w:w="16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职业健康安全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绩效</w:t>
                  </w:r>
                </w:p>
              </w:tc>
              <w:tc>
                <w:tcPr>
                  <w:tcW w:w="44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工作、工作组织和工作环境适合</w:t>
                  </w:r>
                  <w:r>
                    <w:rPr>
                      <w:highlight w:val="none"/>
                    </w:rPr>
                    <w:t>于</w:t>
                  </w:r>
                  <w:r>
                    <w:rPr>
                      <w:rFonts w:hint="eastAsia"/>
                      <w:highlight w:val="none"/>
                    </w:rPr>
                    <w:t>工作人员</w:t>
                  </w:r>
                </w:p>
              </w:tc>
              <w:tc>
                <w:tcPr>
                  <w:tcW w:w="44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目前控制措施有效且被员工接受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44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定期收集和评价法律法规和其他要求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消除危险源</w:t>
                  </w:r>
                </w:p>
              </w:tc>
              <w:tc>
                <w:tcPr>
                  <w:tcW w:w="44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目前只能对消防措施进行控制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降低职业健康安全风险</w:t>
                  </w:r>
                </w:p>
              </w:tc>
              <w:tc>
                <w:tcPr>
                  <w:tcW w:w="44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全部装置的正常运行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其他机遇</w:t>
                  </w:r>
                </w:p>
              </w:tc>
              <w:tc>
                <w:tcPr>
                  <w:tcW w:w="44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pStyle w:val="16"/>
              <w:numPr>
                <w:ilvl w:val="3"/>
                <w:numId w:val="0"/>
              </w:numPr>
              <w:rPr>
                <w:rFonts w:hint="eastAsia"/>
              </w:rPr>
            </w:pPr>
            <w:bookmarkStart w:id="0" w:name="_Toc17985671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法律法要求规和其他要求的</w:t>
            </w:r>
            <w:r>
              <w:rPr>
                <w:rFonts w:hint="eastAsia"/>
              </w:rPr>
              <w:t>确定</w:t>
            </w:r>
            <w:bookmarkEnd w:id="0"/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O6.1.3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如：手册第6.1.3条款、《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合规义务控制程序</w:t>
            </w:r>
            <w:r>
              <w:rPr>
                <w:rFonts w:hint="eastAsia"/>
                <w:lang w:val="en-US" w:eastAsia="zh-CN"/>
              </w:rPr>
              <w:t>》、《法律法规其他要求清单》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</w:t>
            </w:r>
            <w:r>
              <w:rPr>
                <w:rFonts w:hint="eastAsia"/>
                <w:vertAlign w:val="baseline"/>
                <w:lang w:val="en-US" w:eastAsia="zh-CN"/>
              </w:rPr>
              <w:t>收集法律法规和其他要求的渠道：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专业网站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主管机构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专业书店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列举主要的相关法律法规</w:t>
            </w:r>
            <w:r>
              <w:rPr>
                <w:rFonts w:hint="eastAsia"/>
                <w:vertAlign w:val="baseline"/>
                <w:lang w:eastAsia="zh-CN"/>
              </w:rPr>
              <w:t>是：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4"/>
              <w:gridCol w:w="2643"/>
              <w:gridCol w:w="1671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法律法规名称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具体条款</w:t>
                  </w:r>
                </w:p>
              </w:tc>
              <w:tc>
                <w:tcPr>
                  <w:tcW w:w="167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消防法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消防管理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84" w:type="dxa"/>
                  <w:shd w:val="clear" w:color="auto" w:fill="auto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江西省消防条例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消防管理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4" w:type="dxa"/>
                  <w:shd w:val="clear" w:color="auto" w:fill="auto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江西省工伤保险条例</w:t>
                  </w: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消防管理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4" w:type="dxa"/>
                  <w:shd w:val="clear" w:color="auto" w:fill="auto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4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查看《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安全生产</w:t>
            </w:r>
            <w:r>
              <w:rPr>
                <w:color w:val="000000"/>
                <w:szCs w:val="18"/>
                <w:highlight w:val="none"/>
              </w:rPr>
              <w:t>许可证》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18"/>
                <w:highlight w:val="none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（适用时）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有效期至：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20XX年 XX 月XX 日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范围：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确认职业健康安全评价的种类：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安全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预评估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安全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现状评估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职业健康安全预评估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职业健康安全现状评估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安全评价报告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年    月     日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职业病现状评价报告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年    月     日</w:t>
            </w:r>
          </w:p>
          <w:p>
            <w:pPr>
              <w:rPr>
                <w:rFonts w:hint="eastAsia"/>
                <w:color w:val="000000"/>
                <w:szCs w:val="18"/>
                <w:highlight w:val="cyan"/>
                <w:lang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消防</w:t>
            </w:r>
            <w:r>
              <w:rPr>
                <w:rFonts w:hint="eastAsia"/>
                <w:color w:val="000000"/>
                <w:szCs w:val="18"/>
                <w:highlight w:val="none"/>
              </w:rPr>
              <w:t>验收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意见书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年   月    日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现有产量与安评、职评的产能的对比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评估的产能：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O6.1.4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如：手册第6.1.4条款、《管理方案》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在策划措施时，组织必须考虑控制的层级（见</w:t>
            </w:r>
            <w:r>
              <w:t>8.1.2）</w:t>
            </w:r>
            <w:r>
              <w:rPr>
                <w:rFonts w:hint="eastAsia"/>
              </w:rPr>
              <w:t>和职业健康安全管理体系的输出。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在策划措施时，组织还应考虑最佳实践、可选技术方案以及财务、运行和经营等要求。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0"/>
              <w:gridCol w:w="3587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35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风险和机遇</w:t>
                  </w:r>
                </w:p>
              </w:tc>
              <w:tc>
                <w:tcPr>
                  <w:tcW w:w="358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《风险和机遇控制程序》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满足法律法规要求和其他要求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</w:t>
                  </w: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运行</w:t>
                  </w: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控制程序》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对紧急情况做出准备和响应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《应急准备和响应控制程序》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职业健康安全目标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职业健康安全目标</w:t>
            </w:r>
            <w:r>
              <w:rPr>
                <w:rFonts w:hint="eastAsia"/>
                <w:highlight w:val="none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highlight w:val="cya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</w:rPr>
              <w:t>组织建立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highlight w:val="none"/>
                <w:vertAlign w:val="baseline"/>
              </w:rPr>
              <w:t>目标。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职业健康安全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职业健康安全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目标具体、有针对性、并且可实现。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职业健康安全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职业健康安全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火灾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GB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GB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  <w:lang w:val="en-US"/>
              </w:rPr>
            </w:pPr>
            <w:r>
              <w:rPr>
                <w:rFonts w:hint="eastAsia"/>
                <w:highlight w:val="none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/>
              </w:rPr>
              <w:t>目标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highlight w:val="none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highlight w:val="none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highlight w:val="none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。</w:t>
            </w:r>
          </w:p>
          <w:p>
            <w:pPr>
              <w:rPr>
                <w:rFonts w:hint="eastAsia"/>
                <w:highlight w:val="none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运行策划和控制程序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管理手册第8.1章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组织策划、实施、控制和保持所需的过程</w:t>
            </w:r>
            <w:r>
              <w:rPr>
                <w:rFonts w:hint="eastAsia"/>
                <w:highlight w:val="none"/>
                <w:lang w:val="en-US" w:eastAsia="zh-CN"/>
              </w:rPr>
              <w:t>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未与供方签订EHS协议——已和企业沟通进一步完善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灭火器和消防栓的定期检查，2021年1~12月均有消防栓检查，没有消防栓的内容——已和企业沟通进一步完善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有一台客梯1#，有合格证（有效期到2022-10）；使用登记证赣</w:t>
            </w:r>
            <w:r>
              <w:rPr>
                <w:rFonts w:hint="eastAsia"/>
                <w:highlight w:val="none"/>
                <w:lang w:val="en-US" w:eastAsia="zh-CN"/>
              </w:rPr>
              <w:t>CT20110411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检测报告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：</w:t>
            </w:r>
            <w:r>
              <w:rPr>
                <w:rFonts w:hint="eastAsia"/>
                <w:highlight w:val="none"/>
                <w:lang w:val="en-US" w:eastAsia="zh-CN"/>
              </w:rPr>
              <w:t>DDT2110846F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，结论：合格；有效期至2022年10月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半月维保一次，有维保记录，</w:t>
            </w:r>
            <w:r>
              <w:rPr>
                <w:rFonts w:hint="eastAsia"/>
                <w:highlight w:val="none"/>
                <w:lang w:val="en-US" w:eastAsia="zh-CN"/>
              </w:rPr>
              <w:t>有2021年度的维保记录。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变更管理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auto"/>
                <w:highlight w:val="none"/>
              </w:rPr>
              <w:t>8.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1.3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color w:val="auto"/>
                <w:highlight w:val="none"/>
                <w:lang w:val="en-US" w:eastAsia="zh-CN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——不涉及</w:t>
            </w:r>
          </w:p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工作场所的位置和周边环境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工作组织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工作条件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法律法规要求和其他要求的变更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知识和技术的发展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highlight w:val="none"/>
              </w:rPr>
              <w:t>；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962"/>
              <w:gridCol w:w="1885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8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6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5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9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危化品泄露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危化品中毒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机械伤害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总部</w:t>
            </w:r>
            <w:r>
              <w:rPr>
                <w:rFonts w:hint="eastAsia"/>
                <w:highlight w:val="none"/>
                <w:lang w:val="en-US" w:eastAsia="zh-CN"/>
              </w:rPr>
              <w:t>未进行应急演练——已和企业沟通进一步完善</w:t>
            </w:r>
          </w:p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对预案</w:t>
            </w:r>
            <w:r>
              <w:rPr>
                <w:rFonts w:hint="eastAsia"/>
                <w:highlight w:val="none"/>
                <w:lang w:eastAsia="zh-CN"/>
              </w:rPr>
              <w:t>定期评审</w:t>
            </w:r>
            <w:r>
              <w:rPr>
                <w:rFonts w:hint="eastAsia"/>
                <w:highlight w:val="none"/>
                <w:lang w:val="en-US" w:eastAsia="zh-CN"/>
              </w:rPr>
              <w:t>的日期：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2021-10   </w:t>
            </w: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修订响应措施</w:t>
            </w:r>
            <w:r>
              <w:rPr>
                <w:rFonts w:hint="eastAsia"/>
                <w:highlight w:val="none"/>
                <w:lang w:val="en-US" w:eastAsia="zh-CN"/>
              </w:rPr>
              <w:t>的内容：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无                   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1F2DA8"/>
                <w:highlight w:val="none"/>
                <w:lang w:eastAsia="zh-CN"/>
              </w:rPr>
            </w:pPr>
            <w:r>
              <w:rPr>
                <w:rFonts w:hint="eastAsia"/>
                <w:color w:val="1F2DA8"/>
                <w:highlight w:val="none"/>
                <w:lang w:val="en-US" w:eastAsia="zh-CN"/>
              </w:rPr>
              <w:t>《应急预案》在当地</w:t>
            </w:r>
            <w:r>
              <w:rPr>
                <w:rFonts w:hint="eastAsia" w:cs="Times New Roman"/>
                <w:color w:val="1F2DA8"/>
                <w:kern w:val="2"/>
                <w:sz w:val="21"/>
                <w:highlight w:val="none"/>
                <w:lang w:val="en-US" w:eastAsia="zh-CN" w:bidi="ar-SA"/>
              </w:rPr>
              <w:t>应急管理局（2019-01-08）</w:t>
            </w:r>
            <w:r>
              <w:rPr>
                <w:rFonts w:hint="eastAsia"/>
                <w:color w:val="1F2DA8"/>
                <w:highlight w:val="none"/>
                <w:lang w:val="en-US" w:eastAsia="zh-CN"/>
              </w:rPr>
              <w:t xml:space="preserve">的备案 </w:t>
            </w:r>
            <w:r>
              <w:rPr>
                <w:rFonts w:hint="eastAsia" w:ascii="Times New Roman" w:hAnsi="Times New Roman" w:eastAsia="宋体" w:cs="Times New Roman"/>
                <w:color w:val="1F2DA8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color w:val="1F2DA8"/>
                <w:kern w:val="2"/>
                <w:sz w:val="21"/>
                <w:highlight w:val="none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color w:val="1F2DA8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1F2DA8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1F2DA8"/>
                <w:kern w:val="2"/>
                <w:sz w:val="21"/>
                <w:highlight w:val="none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pStyle w:val="17"/>
              <w:numPr>
                <w:ilvl w:val="2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1" w:name="_Toc17985696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监视、测量、分析和评价绩效</w:t>
            </w:r>
            <w:bookmarkEnd w:id="1"/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《监视、测量、分析和评价控制程序》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日常检查：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危化品管理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特种设备管理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持证上岗人员管理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安全隐患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1F2DA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1F2DA8"/>
                <w:highlight w:val="none"/>
                <w:u w:val="single"/>
                <w:lang w:val="en-US" w:eastAsia="zh-CN"/>
              </w:rPr>
              <w:t xml:space="preserve">每月进行消防栓一次，有记录（2021-01~12）；基本正常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1F2DA8"/>
                <w:highlight w:val="none"/>
                <w:u w:val="single"/>
                <w:lang w:val="en-US" w:eastAsia="zh-CN"/>
              </w:rPr>
              <w:t>办公楼内只有1只灭火器</w:t>
            </w:r>
            <w:r>
              <w:rPr>
                <w:rFonts w:hint="eastAsia"/>
                <w:highlight w:val="none"/>
                <w:lang w:val="en-US" w:eastAsia="zh-CN"/>
              </w:rPr>
              <w:t>——已和企业沟通进一步完善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第三方监测：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作业场所有害物质浓度检测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年    月   日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号  </w:t>
            </w:r>
          </w:p>
          <w:p>
            <w:pPr>
              <w:ind w:firstLine="210" w:firstLineChars="10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职业病体检：职业危害岗位: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不涉及         </w:t>
            </w: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 xml:space="preserve">入职员工：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职业病体检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年    月    日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号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达标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default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在职员工（定期）：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职业病体检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号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年  月    日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号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 xml:space="preserve">离职员工：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职业病体检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年  月   日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号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建筑消防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号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年  月    日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，结论：    </w:t>
            </w:r>
          </w:p>
          <w:p>
            <w:pPr>
              <w:rPr>
                <w:rFonts w:hint="default" w:eastAsia="宋体"/>
                <w:highlight w:val="cyan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电气防火检测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年  月  日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，结论：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防雷防静电检测报告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年   月   日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，结论：      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《合规性评价控制程序》、或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190"/>
              <w:gridCol w:w="296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9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江西省消防条例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2021-9-28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bookmarkStart w:id="2" w:name="_GoBack" w:colFirst="1" w:colLast="1"/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职业病防治法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2021-9-28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江西省工伤保险条例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2021-9-28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bookmarkEnd w:id="2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  <w:lang w:val="en-US" w:eastAsia="zh-CN"/>
              </w:rPr>
              <w:t>不符合和纠正措施控制程序》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未发生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主管部门抽查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采取纠正措施相关记录名称：</w:t>
            </w:r>
            <w:r>
              <w:rPr>
                <w:rFonts w:hint="eastAsia"/>
                <w:color w:val="1F2DA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事件和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0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5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5020D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B600B2"/>
    <w:rsid w:val="06ED612A"/>
    <w:rsid w:val="0700448C"/>
    <w:rsid w:val="07244FB4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310209"/>
    <w:rsid w:val="0C3116E9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C1118D"/>
    <w:rsid w:val="0DD9585D"/>
    <w:rsid w:val="0E49595F"/>
    <w:rsid w:val="0E4C35DF"/>
    <w:rsid w:val="0E5927F2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D3DB9"/>
    <w:rsid w:val="1162226F"/>
    <w:rsid w:val="11BD2BE2"/>
    <w:rsid w:val="11BE2038"/>
    <w:rsid w:val="11C40475"/>
    <w:rsid w:val="11DC0AC4"/>
    <w:rsid w:val="11E2439D"/>
    <w:rsid w:val="120C3CD2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D92CA0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183912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C9076A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BA3DA1"/>
    <w:rsid w:val="1ACF1254"/>
    <w:rsid w:val="1AED5B63"/>
    <w:rsid w:val="1B462375"/>
    <w:rsid w:val="1B5E3B97"/>
    <w:rsid w:val="1B6B0728"/>
    <w:rsid w:val="1BDF22BD"/>
    <w:rsid w:val="1C392A3A"/>
    <w:rsid w:val="1C683E38"/>
    <w:rsid w:val="1CB1322F"/>
    <w:rsid w:val="1CEB1474"/>
    <w:rsid w:val="1CF3399B"/>
    <w:rsid w:val="1CFD2AFE"/>
    <w:rsid w:val="1D0B42B9"/>
    <w:rsid w:val="1D4D4A00"/>
    <w:rsid w:val="1DA503D9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151F7"/>
    <w:rsid w:val="2892323E"/>
    <w:rsid w:val="289361DE"/>
    <w:rsid w:val="28C3395C"/>
    <w:rsid w:val="28F039B6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16B1B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AB3DD9"/>
    <w:rsid w:val="2FE823A5"/>
    <w:rsid w:val="2FEA1C57"/>
    <w:rsid w:val="300172B8"/>
    <w:rsid w:val="30284CE9"/>
    <w:rsid w:val="30856BA8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C4CC5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712F82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C55686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121B1E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3CC2E8A"/>
    <w:rsid w:val="44350F69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D61BC0"/>
    <w:rsid w:val="46EA7997"/>
    <w:rsid w:val="470243E7"/>
    <w:rsid w:val="471F1498"/>
    <w:rsid w:val="47271944"/>
    <w:rsid w:val="473E10CC"/>
    <w:rsid w:val="475C4BFE"/>
    <w:rsid w:val="475D7730"/>
    <w:rsid w:val="47BB044C"/>
    <w:rsid w:val="47E672DC"/>
    <w:rsid w:val="48262DE5"/>
    <w:rsid w:val="485226C4"/>
    <w:rsid w:val="48855EE3"/>
    <w:rsid w:val="48ED577E"/>
    <w:rsid w:val="495D1E4B"/>
    <w:rsid w:val="49912790"/>
    <w:rsid w:val="49C0281D"/>
    <w:rsid w:val="49C778DD"/>
    <w:rsid w:val="49E3211A"/>
    <w:rsid w:val="49E449BF"/>
    <w:rsid w:val="49EC77B8"/>
    <w:rsid w:val="49ED5B1C"/>
    <w:rsid w:val="4A4C5CC1"/>
    <w:rsid w:val="4A8610DE"/>
    <w:rsid w:val="4AD45EF1"/>
    <w:rsid w:val="4AE04A18"/>
    <w:rsid w:val="4B337454"/>
    <w:rsid w:val="4B407CC6"/>
    <w:rsid w:val="4B42232B"/>
    <w:rsid w:val="4B7E6196"/>
    <w:rsid w:val="4B825A76"/>
    <w:rsid w:val="4B8B3702"/>
    <w:rsid w:val="4B9B0D7E"/>
    <w:rsid w:val="4BC83B65"/>
    <w:rsid w:val="4C0C3B65"/>
    <w:rsid w:val="4C204239"/>
    <w:rsid w:val="4C247C80"/>
    <w:rsid w:val="4C8E6369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B92777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1E1C8F"/>
    <w:rsid w:val="552A2893"/>
    <w:rsid w:val="55436287"/>
    <w:rsid w:val="556B045B"/>
    <w:rsid w:val="557D4E77"/>
    <w:rsid w:val="55C375DD"/>
    <w:rsid w:val="56156439"/>
    <w:rsid w:val="56216085"/>
    <w:rsid w:val="56643532"/>
    <w:rsid w:val="568B5A7B"/>
    <w:rsid w:val="56C41BCC"/>
    <w:rsid w:val="570A6E63"/>
    <w:rsid w:val="5724129E"/>
    <w:rsid w:val="573B0118"/>
    <w:rsid w:val="573D2268"/>
    <w:rsid w:val="57411925"/>
    <w:rsid w:val="57441E32"/>
    <w:rsid w:val="57535542"/>
    <w:rsid w:val="575B3098"/>
    <w:rsid w:val="57A14CB5"/>
    <w:rsid w:val="57F318B9"/>
    <w:rsid w:val="57F55B90"/>
    <w:rsid w:val="580F191D"/>
    <w:rsid w:val="58276F84"/>
    <w:rsid w:val="58584813"/>
    <w:rsid w:val="58AD4DA2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9ED037B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B07420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833163"/>
    <w:rsid w:val="63A31ABC"/>
    <w:rsid w:val="63C65078"/>
    <w:rsid w:val="63EA156F"/>
    <w:rsid w:val="63EA6D88"/>
    <w:rsid w:val="64106CE7"/>
    <w:rsid w:val="64401702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8819BD"/>
    <w:rsid w:val="68B54AF7"/>
    <w:rsid w:val="68BB527D"/>
    <w:rsid w:val="68BD0D58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713B2"/>
    <w:rsid w:val="6D1D2C91"/>
    <w:rsid w:val="6D232D3C"/>
    <w:rsid w:val="6D2F5D1E"/>
    <w:rsid w:val="6D5B4A2E"/>
    <w:rsid w:val="6D792112"/>
    <w:rsid w:val="6D9910BE"/>
    <w:rsid w:val="6DA004EB"/>
    <w:rsid w:val="6DE309B5"/>
    <w:rsid w:val="6E641038"/>
    <w:rsid w:val="6E966D25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A50172"/>
    <w:rsid w:val="73C80EF6"/>
    <w:rsid w:val="74103E55"/>
    <w:rsid w:val="74456E15"/>
    <w:rsid w:val="745B622A"/>
    <w:rsid w:val="753E2D2E"/>
    <w:rsid w:val="753F2F7D"/>
    <w:rsid w:val="75DB13A5"/>
    <w:rsid w:val="75E415FD"/>
    <w:rsid w:val="75E552E3"/>
    <w:rsid w:val="76057742"/>
    <w:rsid w:val="7648538B"/>
    <w:rsid w:val="76531223"/>
    <w:rsid w:val="76BD747C"/>
    <w:rsid w:val="76CD52EB"/>
    <w:rsid w:val="76FE004A"/>
    <w:rsid w:val="775766A7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9A7132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0F094D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Body 9pt"/>
    <w:basedOn w:val="1"/>
    <w:qFormat/>
    <w:uiPriority w:val="0"/>
    <w:pPr>
      <w:spacing w:before="40" w:after="40" w:line="240" w:lineRule="auto"/>
    </w:pPr>
    <w:rPr>
      <w:rFonts w:eastAsia="Times New Roman" w:cs="Times New Roman"/>
      <w:sz w:val="18"/>
      <w:szCs w:val="20"/>
      <w:lang w:val="de-DE" w:eastAsia="de-DE"/>
    </w:rPr>
  </w:style>
  <w:style w:type="paragraph" w:customStyle="1" w:styleId="15">
    <w:name w:val="三级条标题"/>
    <w:basedOn w:val="16"/>
    <w:next w:val="18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8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8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2022-02-19T11:27:41Z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3173FA44D72E41D1832FB3F17378DDE6</vt:lpwstr>
  </property>
</Properties>
</file>