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95"/>
        <w:gridCol w:w="784"/>
        <w:gridCol w:w="1835"/>
        <w:gridCol w:w="86"/>
        <w:gridCol w:w="687"/>
        <w:gridCol w:w="1251"/>
        <w:gridCol w:w="762"/>
        <w:gridCol w:w="256"/>
        <w:gridCol w:w="294"/>
        <w:gridCol w:w="680"/>
        <w:gridCol w:w="22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江西省樟树市四特大道305号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2" w:name="生产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 xml:space="preserve">办公地址A： </w:t>
            </w:r>
            <w:r>
              <w:rPr>
                <w:rFonts w:asciiTheme="minorEastAsia" w:hAnsiTheme="minorEastAsia" w:eastAsiaTheme="minorEastAsia"/>
                <w:sz w:val="20"/>
              </w:rPr>
              <w:t>江西省樟树市四特大道305号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领导层、行政部、财务部、销售部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）；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生产地址B：</w:t>
            </w:r>
            <w:r>
              <w:rPr>
                <w:rFonts w:asciiTheme="minorEastAsia" w:hAnsiTheme="minorEastAsia" w:eastAsiaTheme="minorEastAsia"/>
                <w:sz w:val="20"/>
              </w:rPr>
              <w:t>江西省樟树市城北工业园清江大道699号</w:t>
            </w:r>
            <w:bookmarkEnd w:id="2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生产部、采购部、质检部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刘涛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联系人手机"/>
            <w:r>
              <w:rPr>
                <w:sz w:val="21"/>
                <w:szCs w:val="21"/>
              </w:rPr>
              <w:t>1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8279009815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870766498@qq.com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丁海新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69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0051-2021-QEO-2021</w:t>
            </w:r>
            <w:bookmarkEnd w:id="7"/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92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第一次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地址变更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职业健康安全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Q：</w:t>
            </w:r>
            <w:r>
              <w:rPr>
                <w:sz w:val="20"/>
                <w:lang w:val="de-DE"/>
              </w:rPr>
              <w:t>17.06.02,</w:t>
            </w:r>
            <w:r>
              <w:rPr>
                <w:sz w:val="20"/>
              </w:rPr>
              <w:t>23.01.01;23.01.04;29.12.00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sz w:val="20"/>
                <w:lang w:val="de-DE"/>
              </w:rPr>
              <w:t>17.06.02,</w:t>
            </w:r>
            <w:r>
              <w:rPr>
                <w:sz w:val="20"/>
              </w:rPr>
              <w:t>23.01.01;23.01.04;29.12.00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sz w:val="20"/>
                <w:lang w:val="de-DE"/>
              </w:rPr>
              <w:t>17.06.02,</w:t>
            </w:r>
            <w:r>
              <w:rPr>
                <w:sz w:val="20"/>
              </w:rPr>
              <w:t>23.01.01;23.01.04;29.12.00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 xml:space="preserve">2022年01月20日 上午至2022年01月21日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</w:t>
            </w:r>
            <w:bookmarkEnd w:id="28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O:17.06.02,23.01.01,23.01.04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8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01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Align w:val="center"/>
          </w:tcPr>
          <w:p/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/>
        </w:tc>
        <w:tc>
          <w:tcPr>
            <w:tcW w:w="1454" w:type="dxa"/>
            <w:gridSpan w:val="4"/>
            <w:vAlign w:val="center"/>
          </w:tcPr>
          <w:p/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0435" cy="453390"/>
                  <wp:effectExtent l="0" t="0" r="0" b="381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12495" cy="399415"/>
                  <wp:effectExtent l="0" t="0" r="1905" b="0"/>
                  <wp:docPr id="1" name="图片 1" descr="1cd9d39bd1163b45cdd64b4bab78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cd9d39bd1163b45cdd64b4bab785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2022-1-14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2022-1-14</w:t>
            </w:r>
          </w:p>
        </w:tc>
        <w:tc>
          <w:tcPr>
            <w:tcW w:w="221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547485" cy="9626600"/>
            <wp:effectExtent l="0" t="0" r="571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7485" cy="96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251"/>
        <w:gridCol w:w="3157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7:50</w:t>
            </w:r>
          </w:p>
        </w:tc>
        <w:tc>
          <w:tcPr>
            <w:tcW w:w="3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审核组全部到达地址B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地址B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7.1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15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采购过程、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供方评价、顾客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和外部供方的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财产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  <w:szCs w:val="21"/>
              </w:rPr>
              <w:t>危化品、劳保用品的采购过程）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QMS：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5.3，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6.1.2、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8.4、8.5.3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 8.1 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9.1.1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/>
                <w:sz w:val="21"/>
                <w:szCs w:val="21"/>
              </w:rPr>
              <w:t>5.3 6.1.2 6.1.4 8.1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.4,</w:t>
            </w:r>
            <w:r>
              <w:rPr>
                <w:rFonts w:hint="eastAsia"/>
                <w:sz w:val="21"/>
                <w:szCs w:val="21"/>
              </w:rPr>
              <w:t xml:space="preserve"> 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9.1.1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15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（基础设施和运行环境管理，运行策划和控制、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产品的设计和开发、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产品和服务的提供，标识和可追溯性、产品防护、变更的控制、过程检验、不合格品控制）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7.1.3、7.1.4、</w:t>
            </w:r>
            <w:r>
              <w:rPr>
                <w:rFonts w:hint="eastAsia"/>
                <w:sz w:val="21"/>
                <w:szCs w:val="21"/>
              </w:rPr>
              <w:t>8.1、8.3、8.5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.1、8.5.2、8.5.4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8.5.6、</w:t>
            </w:r>
            <w:r>
              <w:rPr>
                <w:rFonts w:hint="eastAsia"/>
                <w:sz w:val="21"/>
                <w:szCs w:val="21"/>
              </w:rPr>
              <w:t>8.6、8.7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OHS: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-9:30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伍光华从地址B去地址A在途</w:t>
            </w:r>
          </w:p>
        </w:tc>
        <w:tc>
          <w:tcPr>
            <w:tcW w:w="2469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3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157" w:type="dxa"/>
            <w:shd w:val="clear" w:color="auto" w:fill="EBF1DE" w:themeFill="accent3" w:themeFillTint="32"/>
            <w:vAlign w:val="top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理解组织及其环境</w:t>
            </w:r>
            <w:r>
              <w:rPr>
                <w:rFonts w:hint="eastAsia"/>
                <w:sz w:val="21"/>
                <w:szCs w:val="21"/>
              </w:rPr>
              <w:t>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管理体系范围、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和过程</w:t>
            </w:r>
            <w:r>
              <w:rPr>
                <w:rFonts w:hint="eastAsia"/>
                <w:sz w:val="21"/>
                <w:szCs w:val="21"/>
              </w:rPr>
              <w:t>策划、管理承诺、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管理方针、目标策划和实现，管理职责和权限，工作人员的协商与参与、风险和机遇识别和分析，变更策划，</w:t>
            </w:r>
            <w:r>
              <w:rPr>
                <w:rFonts w:hint="eastAsia"/>
                <w:sz w:val="21"/>
                <w:szCs w:val="21"/>
              </w:rPr>
              <w:t>资源提供、管理评审、监视和测量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/>
                <w:sz w:val="21"/>
                <w:szCs w:val="21"/>
              </w:rPr>
              <w:t>问题整改情况的确认；事故事件及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/>
                <w:sz w:val="21"/>
                <w:szCs w:val="21"/>
              </w:rPr>
              <w:t>处理情况，质量、环境安全监测情况、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认证证书和标志</w:t>
            </w:r>
            <w:r>
              <w:rPr>
                <w:rFonts w:hint="eastAsia"/>
                <w:sz w:val="21"/>
                <w:szCs w:val="21"/>
              </w:rPr>
              <w:t>使用情况等</w:t>
            </w:r>
          </w:p>
        </w:tc>
        <w:tc>
          <w:tcPr>
            <w:tcW w:w="2469" w:type="dxa"/>
            <w:shd w:val="clear" w:color="auto" w:fill="EBF1DE" w:themeFill="accent3" w:themeFillTint="32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QMS：4.1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1，6.2，6.3，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/>
                <w:sz w:val="21"/>
                <w:szCs w:val="21"/>
              </w:rPr>
              <w:t xml:space="preserve">,7.1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  <w:p>
            <w:pPr>
              <w:pStyle w:val="2"/>
            </w:pP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OHS：4.1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,7.1 7.4 9.3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F2DCDC" w:themeFill="accent2" w:themeFillTint="32"/>
          </w:tcPr>
          <w:p>
            <w:pPr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315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采购过程、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供方评价、顾客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和外部供方的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财产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  <w:szCs w:val="21"/>
              </w:rPr>
              <w:t>危化品、劳保用品的采购过程）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QMS：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5.3，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6.1.2、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8.4、8.5.3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 8.1 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9.1.1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/>
                <w:sz w:val="21"/>
                <w:szCs w:val="21"/>
              </w:rPr>
              <w:t>5.3 6.1.2 6.1.4 8.1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.4,</w:t>
            </w:r>
            <w:r>
              <w:rPr>
                <w:rFonts w:hint="eastAsia"/>
                <w:sz w:val="21"/>
                <w:szCs w:val="21"/>
              </w:rPr>
              <w:t xml:space="preserve"> 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9.1.1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张静从地址B到地址A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1251" w:type="dxa"/>
            <w:shd w:val="clear" w:color="auto" w:fill="F2DCDC" w:themeFill="accen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157" w:type="dxa"/>
            <w:shd w:val="clear" w:color="auto" w:fill="F2DCDC" w:themeFill="accent2" w:themeFillTint="32"/>
          </w:tcPr>
          <w:p>
            <w:pPr>
              <w:pStyle w:val="2"/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29大类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环境因素识别和危险源辨识和评价，合规义务，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控制措施策划，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合规性评价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6.1.2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6.1.3，</w:t>
            </w:r>
            <w:r>
              <w:rPr>
                <w:sz w:val="21"/>
                <w:szCs w:val="21"/>
              </w:rPr>
              <w:t>6.1.4 9.1.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6.1.2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6.1.3，</w:t>
            </w:r>
            <w:r>
              <w:rPr>
                <w:sz w:val="21"/>
                <w:szCs w:val="21"/>
              </w:rPr>
              <w:t>6.1.4    9.1.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-继续</w:t>
            </w:r>
          </w:p>
        </w:tc>
        <w:tc>
          <w:tcPr>
            <w:tcW w:w="315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（基础设施和运行环境管理，运行策划和控制、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产品的设计和开发、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产品和服务的提供，标识和可追溯性、产品防护、变更的控制、过程检验、不合格品控制）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</w:t>
            </w:r>
            <w:r>
              <w:rPr>
                <w:rFonts w:hint="eastAsia"/>
                <w:sz w:val="21"/>
                <w:szCs w:val="21"/>
              </w:rPr>
              <w:t>等）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7.1.3、7.1.4、</w:t>
            </w:r>
            <w:r>
              <w:rPr>
                <w:rFonts w:hint="eastAsia"/>
                <w:sz w:val="21"/>
                <w:szCs w:val="21"/>
              </w:rPr>
              <w:t>8.1、8.3、8.5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.1、8.5.2、8.5.4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8.5.6、</w:t>
            </w:r>
            <w:r>
              <w:rPr>
                <w:rFonts w:hint="eastAsia"/>
                <w:sz w:val="21"/>
                <w:szCs w:val="21"/>
              </w:rPr>
              <w:t>8.6、8.7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8.1 8.2  9.1.1 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OHS: 5.3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 xml:space="preserve">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157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（人员能力、意识、知识管理、内外部沟通、文件/记录控制、分析与评价、内部审核、管理评审）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目标实现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,安全教育、持证上岗、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环境和职业健康安全运行控制，变更管理，应急准备和响应，监视、测量、分析和评价绩效)</w:t>
            </w:r>
          </w:p>
        </w:tc>
        <w:tc>
          <w:tcPr>
            <w:tcW w:w="2469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5.3，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7.1.2，</w:t>
            </w:r>
            <w:r>
              <w:rPr>
                <w:rFonts w:hint="eastAsia"/>
                <w:sz w:val="21"/>
                <w:szCs w:val="21"/>
              </w:rPr>
              <w:t>7.1.6、7.2、7.3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7.4，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9.1.3，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>
            <w:pPr>
              <w:spacing w:line="300" w:lineRule="exact"/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7.4 7.5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.1，8.1.2，8.1.3，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9.2 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.3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.1，8.1.2，8.1.3，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，9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1251" w:type="dxa"/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157" w:type="dxa"/>
            <w:shd w:val="clear" w:color="auto" w:fill="auto"/>
            <w:vAlign w:val="top"/>
          </w:tcPr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文波回地址A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</w:t>
            </w:r>
            <w:r>
              <w:rPr>
                <w:rFonts w:hint="eastAsia"/>
                <w:b/>
                <w:bCs/>
                <w:sz w:val="21"/>
                <w:szCs w:val="21"/>
              </w:rPr>
              <w:t>料和管</w:t>
            </w:r>
            <w:r>
              <w:rPr>
                <w:rFonts w:hint="eastAsia"/>
                <w:sz w:val="21"/>
                <w:szCs w:val="21"/>
              </w:rPr>
              <w:t>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7:50到达</w:t>
            </w: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张静、文波到达地址A</w:t>
            </w:r>
          </w:p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伍光华到达地址B；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08:00</w:t>
            </w:r>
          </w:p>
        </w:tc>
        <w:tc>
          <w:tcPr>
            <w:tcW w:w="1251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15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（产品服务的要求、与顾客有关的过程、顾客投诉处理、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服务和产品提供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、顾客满意）</w:t>
            </w:r>
          </w:p>
          <w:p>
            <w:pPr>
              <w:pStyle w:val="2"/>
            </w:pP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QMS：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6.1.2、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8.2、8.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8.7、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8.1 8.2  9.1.1 </w:t>
            </w:r>
          </w:p>
          <w:p>
            <w:pPr>
              <w:pStyle w:val="2"/>
            </w:pPr>
            <w:r>
              <w:rPr>
                <w:sz w:val="21"/>
                <w:szCs w:val="21"/>
              </w:rPr>
              <w:t>OHS: 5.3 6.1.2 6.1.4 7.4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sz w:val="21"/>
                <w:szCs w:val="21"/>
              </w:rPr>
              <w:t xml:space="preserve">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08:00</w:t>
            </w:r>
          </w:p>
        </w:tc>
        <w:tc>
          <w:tcPr>
            <w:tcW w:w="1251" w:type="dxa"/>
            <w:shd w:val="clear" w:color="auto" w:fill="C7DAF1" w:themeFill="tex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157" w:type="dxa"/>
            <w:shd w:val="clear" w:color="auto" w:fill="C7DAF1" w:themeFill="text2" w:themeFillTint="32"/>
          </w:tcPr>
          <w:p>
            <w:pPr>
              <w:pStyle w:val="2"/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（17、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23大类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环境因素识别和危险源辨识和评价，合规义务，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控制措施策划，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合规性评价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6.1.2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6.1.3，</w:t>
            </w:r>
            <w:r>
              <w:rPr>
                <w:sz w:val="21"/>
                <w:szCs w:val="21"/>
              </w:rPr>
              <w:t>6.1.4 9.1.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6.1.2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6.1.3，</w:t>
            </w:r>
            <w:r>
              <w:rPr>
                <w:sz w:val="21"/>
                <w:szCs w:val="21"/>
              </w:rPr>
              <w:t>6.1.4    9.1.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文波从地址A到地址B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15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（监视和测量装置的控制、产品的监视和测量、不合格品的控制）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EHS运行和应急准备和响应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5.3，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5.3 6.1.2 6.1.4  8.1 8.2  9.1.1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157" w:type="dxa"/>
            <w:shd w:val="clear" w:color="auto" w:fill="EBF1DE" w:themeFill="accent3" w:themeFillTint="32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特种设备管理、危险作业控制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防雷检测、手持电动工具、公用工程（配电室、空压站、尾气处理设备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污水处理、消防</w:t>
            </w:r>
            <w:r>
              <w:rPr>
                <w:rFonts w:hint="eastAsia" w:ascii="宋体" w:hAnsi="宋体"/>
                <w:sz w:val="21"/>
                <w:szCs w:val="21"/>
              </w:rPr>
              <w:t>等）</w:t>
            </w:r>
          </w:p>
        </w:tc>
        <w:tc>
          <w:tcPr>
            <w:tcW w:w="2469" w:type="dxa"/>
            <w:shd w:val="clear" w:color="auto" w:fill="EBF1DE" w:themeFill="accent3" w:themeFillTint="32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7.1.3、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8.1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8.2，,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9.1.1 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OHS: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8.2，</w:t>
            </w:r>
            <w:r>
              <w:rPr>
                <w:sz w:val="21"/>
                <w:szCs w:val="21"/>
              </w:rPr>
              <w:t xml:space="preserve">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15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7.1,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张静从地址A到地址B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15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参与和协商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,7.4,10.2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315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（监视和测量装置的控制、产品的监视和测量、不合格品的控制）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EHS运行和应急准备和响应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5.3，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5.3 6.1.2 6.1.4  8.1 8.2  9.1.1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EBF1DE" w:themeFill="accent3" w:themeFillTint="32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157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危化品库、</w:t>
            </w:r>
            <w:r>
              <w:rPr>
                <w:rFonts w:hint="eastAsia"/>
                <w:sz w:val="21"/>
                <w:szCs w:val="21"/>
              </w:rPr>
              <w:t>危废存放库、）</w:t>
            </w:r>
          </w:p>
        </w:tc>
        <w:tc>
          <w:tcPr>
            <w:tcW w:w="2469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QMS：8.5.3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8.5.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4，</w:t>
            </w:r>
          </w:p>
          <w:p>
            <w:pPr>
              <w:pStyle w:val="14"/>
              <w:spacing w:after="0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EMS: 5.3</w:t>
            </w: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8.1</w:t>
            </w: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8.2</w:t>
            </w: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，9.1.1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5.3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8.1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.2，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8.2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eastAsia="宋体" w:cs="Arial"/>
                <w:kern w:val="2"/>
                <w:sz w:val="21"/>
                <w:szCs w:val="21"/>
                <w:lang w:val="en-US" w:eastAsia="zh-CN" w:bidi="ar-SA"/>
              </w:rPr>
              <w:t>9.1.1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1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157" w:type="dxa"/>
            <w:shd w:val="clear" w:color="auto" w:fill="EBF1DE" w:themeFill="accent3" w:themeFillTint="32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（车辆控制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食堂）</w:t>
            </w:r>
          </w:p>
        </w:tc>
        <w:tc>
          <w:tcPr>
            <w:tcW w:w="2469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8.1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.1，8.1.2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地址B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5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57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S： 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22B0A"/>
    <w:rsid w:val="03253AFD"/>
    <w:rsid w:val="07B96C57"/>
    <w:rsid w:val="09174AC1"/>
    <w:rsid w:val="09B554AF"/>
    <w:rsid w:val="0A2915DA"/>
    <w:rsid w:val="0B022976"/>
    <w:rsid w:val="0CFE2CC9"/>
    <w:rsid w:val="0D1D43CB"/>
    <w:rsid w:val="0DBC287C"/>
    <w:rsid w:val="0F7B47B8"/>
    <w:rsid w:val="15336827"/>
    <w:rsid w:val="16195275"/>
    <w:rsid w:val="18AB6609"/>
    <w:rsid w:val="18DD75F2"/>
    <w:rsid w:val="1A426EFC"/>
    <w:rsid w:val="1B270EC8"/>
    <w:rsid w:val="29E07442"/>
    <w:rsid w:val="2B820819"/>
    <w:rsid w:val="2E3F3416"/>
    <w:rsid w:val="309063A5"/>
    <w:rsid w:val="31113C22"/>
    <w:rsid w:val="312F236F"/>
    <w:rsid w:val="32DE4ED4"/>
    <w:rsid w:val="339130CD"/>
    <w:rsid w:val="35AA14B9"/>
    <w:rsid w:val="35DE3514"/>
    <w:rsid w:val="35FF348B"/>
    <w:rsid w:val="37905685"/>
    <w:rsid w:val="38BF5890"/>
    <w:rsid w:val="3935097E"/>
    <w:rsid w:val="396509C3"/>
    <w:rsid w:val="3DB63980"/>
    <w:rsid w:val="3FFA29F4"/>
    <w:rsid w:val="41AC44C7"/>
    <w:rsid w:val="42E3300D"/>
    <w:rsid w:val="42E57937"/>
    <w:rsid w:val="48706FEE"/>
    <w:rsid w:val="48CA49DE"/>
    <w:rsid w:val="4BF838F0"/>
    <w:rsid w:val="4E380E23"/>
    <w:rsid w:val="4E6804D2"/>
    <w:rsid w:val="51AE3B25"/>
    <w:rsid w:val="56A1101A"/>
    <w:rsid w:val="56D370BF"/>
    <w:rsid w:val="57E35D56"/>
    <w:rsid w:val="590A40F3"/>
    <w:rsid w:val="59DD0B82"/>
    <w:rsid w:val="59F869CF"/>
    <w:rsid w:val="5BE34B31"/>
    <w:rsid w:val="5E4668FA"/>
    <w:rsid w:val="5F3E5FA7"/>
    <w:rsid w:val="610335F6"/>
    <w:rsid w:val="61900E16"/>
    <w:rsid w:val="624C07C2"/>
    <w:rsid w:val="69990F25"/>
    <w:rsid w:val="6AD96DDD"/>
    <w:rsid w:val="6B73270B"/>
    <w:rsid w:val="6CE4695B"/>
    <w:rsid w:val="6DD825CA"/>
    <w:rsid w:val="70BA504E"/>
    <w:rsid w:val="720F626D"/>
    <w:rsid w:val="72DB49F3"/>
    <w:rsid w:val="751C5CFD"/>
    <w:rsid w:val="754643C6"/>
    <w:rsid w:val="78E90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和为贵</cp:lastModifiedBy>
  <cp:lastPrinted>2022-01-14T07:28:00Z</cp:lastPrinted>
  <dcterms:modified xsi:type="dcterms:W3CDTF">2022-02-19T11:42:59Z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