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</w:pPr>
      <w:r>
        <w:rPr>
          <w:rFonts w:hint="eastAsia" w:asciiTheme="minorEastAsia" w:hAnsiTheme="minorEastAsia" w:eastAsiaTheme="minorEastAsia" w:cstheme="minorEastAsia"/>
          <w:bCs/>
          <w:color w:val="000000"/>
          <w:sz w:val="36"/>
          <w:szCs w:val="36"/>
        </w:rPr>
        <w:t>管理体系审核记录表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36"/>
          <w:szCs w:val="36"/>
          <w:lang w:val="en-US" w:eastAsia="zh-CN"/>
        </w:rPr>
        <w:t>1</w:t>
      </w:r>
    </w:p>
    <w:tbl>
      <w:tblPr>
        <w:tblStyle w:val="16"/>
        <w:tblW w:w="14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965"/>
        <w:gridCol w:w="10927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173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  <w:t>过程与活动、</w:t>
            </w:r>
          </w:p>
          <w:p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  <w:t>抽样计划</w:t>
            </w:r>
          </w:p>
        </w:tc>
        <w:tc>
          <w:tcPr>
            <w:tcW w:w="965" w:type="dxa"/>
            <w:vMerge w:val="restart"/>
            <w:vAlign w:val="center"/>
          </w:tcPr>
          <w:p>
            <w:pPr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  <w:t>涉及</w:t>
            </w:r>
          </w:p>
          <w:p>
            <w:pPr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  <w:t>条款</w:t>
            </w:r>
          </w:p>
        </w:tc>
        <w:tc>
          <w:tcPr>
            <w:tcW w:w="10927" w:type="dxa"/>
            <w:vAlign w:val="center"/>
          </w:tcPr>
          <w:p>
            <w:pPr>
              <w:rPr>
                <w:rFonts w:hint="eastAsia" w:ascii="等线" w:hAnsi="等线" w:eastAsia="等线" w:cs="等线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highlight w:val="none"/>
              </w:rPr>
              <w:t>受审核部门：</w:t>
            </w:r>
            <w:r>
              <w:rPr>
                <w:rFonts w:hint="eastAsia" w:ascii="等线" w:hAnsi="等线" w:eastAsia="等线" w:cs="等线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采购部</w:t>
            </w:r>
            <w:r>
              <w:rPr>
                <w:rFonts w:hint="eastAsia" w:ascii="等线" w:hAnsi="等线" w:eastAsia="等线" w:cs="等线"/>
                <w:highlight w:val="none"/>
              </w:rPr>
              <w:t xml:space="preserve">   </w:t>
            </w:r>
            <w:r>
              <w:rPr>
                <w:rFonts w:hint="eastAsia" w:ascii="等线" w:hAnsi="等线" w:eastAsia="等线" w:cs="等线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highlight w:val="none"/>
              </w:rPr>
              <w:t>主管领导：</w:t>
            </w:r>
            <w:r>
              <w:rPr>
                <w:rFonts w:hint="eastAsia" w:ascii="等线" w:hAnsi="等线" w:eastAsia="等线" w:cs="等线"/>
                <w:highlight w:val="none"/>
                <w:lang w:val="en-US" w:eastAsia="zh-CN"/>
              </w:rPr>
              <w:t>林珍</w:t>
            </w:r>
            <w:r>
              <w:rPr>
                <w:rFonts w:hint="eastAsia" w:ascii="等线" w:hAnsi="等线" w:eastAsia="等线" w:cs="等线"/>
                <w:highlight w:val="none"/>
              </w:rPr>
              <w:t xml:space="preserve">   </w:t>
            </w:r>
            <w:r>
              <w:rPr>
                <w:rFonts w:hint="eastAsia" w:ascii="等线" w:hAnsi="等线" w:eastAsia="等线" w:cs="等线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等线"/>
                <w:highlight w:val="none"/>
              </w:rPr>
              <w:t>陪同人员：</w:t>
            </w:r>
            <w:r>
              <w:rPr>
                <w:rFonts w:hint="eastAsia" w:ascii="等线" w:hAnsi="等线" w:eastAsia="等线" w:cs="等线"/>
                <w:highlight w:val="none"/>
                <w:lang w:val="en-US" w:eastAsia="zh-CN"/>
              </w:rPr>
              <w:t>胡玲玲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73" w:type="dxa"/>
            <w:vMerge w:val="continue"/>
            <w:vAlign w:val="center"/>
          </w:tcPr>
          <w:p>
            <w:pPr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</w:pPr>
          </w:p>
        </w:tc>
        <w:tc>
          <w:tcPr>
            <w:tcW w:w="965" w:type="dxa"/>
            <w:vMerge w:val="continue"/>
            <w:vAlign w:val="center"/>
          </w:tcPr>
          <w:p>
            <w:pPr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</w:pPr>
          </w:p>
        </w:tc>
        <w:tc>
          <w:tcPr>
            <w:tcW w:w="10927" w:type="dxa"/>
            <w:vAlign w:val="center"/>
          </w:tcPr>
          <w:p>
            <w:pPr>
              <w:spacing w:before="120"/>
              <w:rPr>
                <w:rFonts w:hint="default" w:ascii="等线" w:hAnsi="等线" w:eastAsia="等线" w:cs="等线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  <w:t>审核员：</w:t>
            </w:r>
            <w:r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王献华      </w:t>
            </w:r>
            <w:r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  <w:t>审核时间：</w:t>
            </w:r>
            <w:r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2022年1月14日13:00-17:00</w:t>
            </w:r>
            <w:bookmarkStart w:id="0" w:name="_GoBack"/>
            <w:bookmarkEnd w:id="0"/>
          </w:p>
        </w:tc>
        <w:tc>
          <w:tcPr>
            <w:tcW w:w="7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73" w:type="dxa"/>
            <w:vMerge w:val="continue"/>
            <w:vAlign w:val="center"/>
          </w:tcPr>
          <w:p>
            <w:pPr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</w:pPr>
          </w:p>
        </w:tc>
        <w:tc>
          <w:tcPr>
            <w:tcW w:w="965" w:type="dxa"/>
            <w:vMerge w:val="continue"/>
            <w:vAlign w:val="center"/>
          </w:tcPr>
          <w:p>
            <w:pPr>
              <w:rPr>
                <w:rFonts w:hint="eastAsia" w:ascii="等线" w:hAnsi="等线" w:eastAsia="等线" w:cs="等线"/>
                <w:sz w:val="21"/>
                <w:szCs w:val="21"/>
                <w:highlight w:val="none"/>
              </w:rPr>
            </w:pPr>
          </w:p>
        </w:tc>
        <w:tc>
          <w:tcPr>
            <w:tcW w:w="10927" w:type="dxa"/>
            <w:vAlign w:val="center"/>
          </w:tcPr>
          <w:p>
            <w:pPr>
              <w:pStyle w:val="20"/>
              <w:rPr>
                <w:rFonts w:hint="eastAsia" w:ascii="等线" w:hAnsi="等线" w:eastAsia="等线" w:cs="等线"/>
                <w:highlight w:val="none"/>
              </w:rPr>
            </w:pPr>
            <w:r>
              <w:rPr>
                <w:rFonts w:hint="eastAsia" w:ascii="等线" w:hAnsi="等线" w:eastAsia="等线" w:cs="等线"/>
                <w:highlight w:val="none"/>
              </w:rPr>
              <w:t>审核条款：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Q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: 5.3组织的岗位、职责和权限、</w:t>
            </w: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6.1应对风险和机遇的措施、6.2质量目标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等线" w:hAnsi="等线" w:eastAsia="等线" w:cs="等线"/>
                <w:spacing w:val="-6"/>
                <w:sz w:val="21"/>
                <w:szCs w:val="21"/>
              </w:rPr>
              <w:t>8.4 外部提供过程、产品和服务的控制</w:t>
            </w:r>
          </w:p>
          <w:p>
            <w:pPr>
              <w:pStyle w:val="20"/>
              <w:rPr>
                <w:rFonts w:hint="eastAsia" w:ascii="等线" w:hAnsi="等线" w:eastAsia="等线" w:cs="等线"/>
                <w:highlight w:val="no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EO:6.1.2环境因素/危险源的辨识与评价、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8.1运行策划和控制、8.2应急准备和响应</w:t>
            </w:r>
          </w:p>
        </w:tc>
        <w:tc>
          <w:tcPr>
            <w:tcW w:w="732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7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岗位、职责、权限、责任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QEO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:5.3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27" w:type="dxa"/>
            <w:vAlign w:val="top"/>
          </w:tcPr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组织三合一手册中规定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综合办公室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的职责如下：</w:t>
            </w:r>
          </w:p>
          <w:p>
            <w:pPr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（1）负责公司的物资、设备的采购工作；负责对所采购材料质量、数量核对工作；有权拒绝未经领导同意批准的采购订单；</w:t>
            </w:r>
          </w:p>
          <w:p>
            <w:pPr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（2）负责保存采购工作的必要原始记录，做好统计，定期上报；</w:t>
            </w:r>
          </w:p>
          <w:p>
            <w:pPr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（3）对所承担的工作全面负责；</w:t>
            </w:r>
          </w:p>
          <w:p>
            <w:pPr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（4）对所采购的物资、设备要有申购单并上报采购上司；协助做好有关物资采购工作的事项；</w:t>
            </w:r>
          </w:p>
          <w:p>
            <w:pPr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（5）编制供应商管理制度，构建供应商管理体系，包括供应商引入制度及考评机制等；</w:t>
            </w:r>
          </w:p>
          <w:p>
            <w:pPr>
              <w:adjustRightInd w:val="0"/>
              <w:snapToGrid w:val="0"/>
              <w:ind w:right="105" w:rightChars="50" w:firstLine="210" w:firstLineChars="100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（6）负责供方调查、评定工作等。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询问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采购部负责人林珍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，基本清楚本部门职责。</w:t>
            </w:r>
          </w:p>
        </w:tc>
        <w:tc>
          <w:tcPr>
            <w:tcW w:w="732" w:type="dxa"/>
          </w:tcPr>
          <w:p>
            <w:pPr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217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目标、指标及完成情况</w:t>
            </w:r>
          </w:p>
        </w:tc>
        <w:tc>
          <w:tcPr>
            <w:tcW w:w="96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Q:6.2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927" w:type="dxa"/>
            <w:vAlign w:val="top"/>
          </w:tcPr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组织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对管理体系所需的相关职能、层次和过程设定管理目标。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涉及的目标及实现情况是：</w:t>
            </w:r>
          </w:p>
          <w:tbl>
            <w:tblPr>
              <w:tblStyle w:val="17"/>
              <w:tblW w:w="9950" w:type="dxa"/>
              <w:tblInd w:w="42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0"/>
              <w:gridCol w:w="3310"/>
              <w:gridCol w:w="3157"/>
              <w:gridCol w:w="23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等线" w:hAnsi="等线" w:eastAsia="等线" w:cs="等线"/>
                      <w:b w:val="0"/>
                      <w:bCs w:val="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等线" w:hAnsi="等线" w:eastAsia="等线" w:cs="等线"/>
                      <w:b w:val="0"/>
                      <w:bCs w:val="0"/>
                    </w:rPr>
                    <w:t>部门</w:t>
                  </w:r>
                </w:p>
              </w:tc>
              <w:tc>
                <w:tcPr>
                  <w:tcW w:w="3310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等线" w:hAnsi="等线" w:eastAsia="等线" w:cs="等线"/>
                      <w:b w:val="0"/>
                      <w:bCs w:val="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等线" w:hAnsi="等线" w:eastAsia="等线" w:cs="等线"/>
                      <w:b w:val="0"/>
                      <w:bCs w:val="0"/>
                    </w:rPr>
                    <w:t>分目标</w:t>
                  </w:r>
                </w:p>
              </w:tc>
              <w:tc>
                <w:tcPr>
                  <w:tcW w:w="315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等线" w:hAnsi="等线" w:eastAsia="等线" w:cs="等线"/>
                      <w:b w:val="0"/>
                      <w:bCs w:val="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等线" w:hAnsi="等线" w:eastAsia="等线" w:cs="等线"/>
                      <w:b w:val="0"/>
                      <w:bCs w:val="0"/>
                    </w:rPr>
                    <w:t>考核方法</w:t>
                  </w:r>
                </w:p>
              </w:tc>
              <w:tc>
                <w:tcPr>
                  <w:tcW w:w="234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等线" w:hAnsi="等线" w:eastAsia="等线" w:cs="等线"/>
                    </w:rPr>
                  </w:pPr>
                  <w:r>
                    <w:rPr>
                      <w:rFonts w:hint="eastAsia" w:ascii="等线" w:hAnsi="等线" w:eastAsia="等线" w:cs="等线"/>
                    </w:rPr>
                    <w:t>统计结果</w:t>
                  </w:r>
                </w:p>
                <w:p>
                  <w:pPr>
                    <w:spacing w:line="400" w:lineRule="exact"/>
                    <w:jc w:val="center"/>
                    <w:rPr>
                      <w:rFonts w:hint="eastAsia" w:ascii="等线" w:hAnsi="等线" w:eastAsia="等线" w:cs="等线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等线" w:hAnsi="等线" w:eastAsia="等线" w:cs="等线"/>
                      <w:lang w:eastAsia="zh-CN"/>
                    </w:rPr>
                    <w:t>（</w:t>
                  </w:r>
                  <w:r>
                    <w:rPr>
                      <w:rFonts w:hint="eastAsia" w:ascii="等线" w:hAnsi="等线" w:eastAsia="等线" w:cs="等线"/>
                      <w:sz w:val="21"/>
                      <w:szCs w:val="21"/>
                      <w:lang w:val="en-US" w:eastAsia="zh-CN"/>
                    </w:rPr>
                    <w:t>2021.1</w:t>
                  </w:r>
                  <w:r>
                    <w:rPr>
                      <w:rFonts w:hint="eastAsia" w:ascii="等线" w:hAnsi="等线" w:eastAsia="等线" w:cs="等线"/>
                      <w:sz w:val="21"/>
                      <w:szCs w:val="21"/>
                    </w:rPr>
                    <w:t>-</w:t>
                  </w:r>
                  <w:r>
                    <w:rPr>
                      <w:rFonts w:hint="eastAsia" w:ascii="等线" w:hAnsi="等线" w:eastAsia="等线" w:cs="等线"/>
                      <w:sz w:val="21"/>
                      <w:szCs w:val="21"/>
                      <w:lang w:val="en-US" w:eastAsia="zh-CN"/>
                    </w:rPr>
                    <w:t>2021.</w:t>
                  </w:r>
                  <w:r>
                    <w:rPr>
                      <w:rFonts w:hint="eastAsia" w:ascii="等线" w:hAnsi="等线" w:eastAsia="等线" w:cs="等线"/>
                      <w:sz w:val="21"/>
                      <w:szCs w:val="21"/>
                    </w:rPr>
                    <w:t>10月）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  <w:vMerge w:val="restart"/>
                  <w:vAlign w:val="center"/>
                </w:tcPr>
                <w:p>
                  <w:pPr>
                    <w:spacing w:line="400" w:lineRule="exact"/>
                    <w:rPr>
                      <w:rFonts w:hint="eastAsia" w:ascii="等线" w:hAnsi="等线" w:eastAsia="等线" w:cs="等线"/>
                      <w:b w:val="0"/>
                      <w:bCs w:val="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等线" w:hAnsi="等线" w:eastAsia="等线" w:cs="等线"/>
                      <w:b w:val="0"/>
                      <w:bCs w:val="0"/>
                    </w:rPr>
                    <w:t>采购部</w:t>
                  </w:r>
                </w:p>
                <w:p>
                  <w:pPr>
                    <w:pStyle w:val="20"/>
                    <w:rPr>
                      <w:rFonts w:hint="eastAsia" w:ascii="等线" w:hAnsi="等线" w:eastAsia="等线" w:cs="等线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310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等线" w:hAnsi="等线" w:eastAsia="等线" w:cs="等线"/>
                      <w:b w:val="0"/>
                      <w:bCs w:val="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等线" w:hAnsi="等线" w:eastAsia="等线" w:cs="等线"/>
                      <w:b w:val="0"/>
                      <w:bCs w:val="0"/>
                      <w:color w:val="000000"/>
                    </w:rPr>
                    <w:t>1.采购物资合格率100%</w:t>
                  </w:r>
                </w:p>
              </w:tc>
              <w:tc>
                <w:tcPr>
                  <w:tcW w:w="315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等线" w:hAnsi="等线" w:eastAsia="等线" w:cs="等线"/>
                      <w:b w:val="0"/>
                      <w:bCs w:val="0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等线" w:hAnsi="等线" w:eastAsia="等线" w:cs="等线"/>
                      <w:b w:val="0"/>
                      <w:bCs w:val="0"/>
                      <w:color w:val="000000"/>
                      <w:szCs w:val="21"/>
                    </w:rPr>
                    <w:t>合格率＝采购物资检验合格批次÷采购物资总批次×100%</w:t>
                  </w:r>
                </w:p>
              </w:tc>
              <w:tc>
                <w:tcPr>
                  <w:tcW w:w="234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等线" w:hAnsi="等线" w:eastAsia="等线" w:cs="等线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等线" w:hAnsi="等线" w:eastAsia="等线" w:cs="等线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  <w:vMerge w:val="continue"/>
                </w:tcPr>
                <w:p>
                  <w:pPr>
                    <w:pStyle w:val="20"/>
                    <w:rPr>
                      <w:rFonts w:hint="eastAsia" w:ascii="等线" w:hAnsi="等线" w:eastAsia="等线" w:cs="等线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310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等线" w:hAnsi="等线" w:eastAsia="等线" w:cs="等线"/>
                      <w:b w:val="0"/>
                      <w:bCs w:val="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等线" w:hAnsi="等线" w:eastAsia="等线" w:cs="等线"/>
                      <w:b w:val="0"/>
                      <w:bCs w:val="0"/>
                      <w:color w:val="000000"/>
                    </w:rPr>
                    <w:t>2.合格供方评定率100%</w:t>
                  </w:r>
                </w:p>
              </w:tc>
              <w:tc>
                <w:tcPr>
                  <w:tcW w:w="3157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等线" w:hAnsi="等线" w:eastAsia="等线" w:cs="等线"/>
                      <w:b w:val="0"/>
                      <w:bCs w:val="0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等线" w:hAnsi="等线" w:eastAsia="等线" w:cs="等线"/>
                      <w:b w:val="0"/>
                      <w:bCs w:val="0"/>
                      <w:color w:val="000000"/>
                      <w:szCs w:val="21"/>
                    </w:rPr>
                    <w:t>评定率＝合格供方评定数÷合格供方总数×100%</w:t>
                  </w:r>
                </w:p>
              </w:tc>
              <w:tc>
                <w:tcPr>
                  <w:tcW w:w="234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等线" w:hAnsi="等线" w:eastAsia="等线" w:cs="等线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等线" w:hAnsi="等线" w:eastAsia="等线" w:cs="等线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  <w:vMerge w:val="continue"/>
                </w:tcPr>
                <w:p>
                  <w:pPr>
                    <w:pStyle w:val="20"/>
                    <w:rPr>
                      <w:rFonts w:hint="eastAsia" w:ascii="等线" w:hAnsi="等线" w:eastAsia="等线" w:cs="等线"/>
                      <w:b w:val="0"/>
                      <w:bCs w:val="0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3310" w:type="dxa"/>
                  <w:vAlign w:val="center"/>
                </w:tcPr>
                <w:p>
                  <w:pPr>
                    <w:spacing w:line="400" w:lineRule="exact"/>
                    <w:rPr>
                      <w:rFonts w:hint="eastAsia" w:ascii="等线" w:hAnsi="等线" w:eastAsia="等线" w:cs="等线"/>
                      <w:b w:val="0"/>
                      <w:bCs w:val="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等线" w:hAnsi="等线" w:eastAsia="等线" w:cs="等线"/>
                      <w:b w:val="0"/>
                      <w:bCs w:val="0"/>
                    </w:rPr>
                    <w:t>3．办公场所分类处理各类废弃物，有专门收集箱并标识，100%分类回收处理</w:t>
                  </w:r>
                  <w:r>
                    <w:rPr>
                      <w:rFonts w:hint="eastAsia" w:ascii="等线" w:hAnsi="等线" w:eastAsia="等线" w:cs="等线"/>
                      <w:b w:val="0"/>
                      <w:bCs w:val="0"/>
                      <w:lang w:eastAsia="zh-CN"/>
                    </w:rPr>
                    <w:t>。</w:t>
                  </w:r>
                </w:p>
              </w:tc>
              <w:tc>
                <w:tcPr>
                  <w:tcW w:w="3157" w:type="dxa"/>
                  <w:vAlign w:val="center"/>
                </w:tcPr>
                <w:p>
                  <w:pPr>
                    <w:pStyle w:val="8"/>
                    <w:spacing w:before="60" w:beforeLines="15" w:after="60" w:afterLines="15" w:line="0" w:lineRule="atLeast"/>
                    <w:ind w:left="420" w:leftChars="200"/>
                    <w:rPr>
                      <w:rFonts w:hint="eastAsia" w:ascii="等线" w:hAnsi="等线" w:eastAsia="等线" w:cs="等线"/>
                      <w:b w:val="0"/>
                      <w:bCs w:val="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等线" w:hAnsi="等线" w:eastAsia="等线" w:cs="等线"/>
                      <w:b w:val="0"/>
                      <w:bCs w:val="0"/>
                      <w:color w:val="000000"/>
                      <w:sz w:val="21"/>
                      <w:szCs w:val="21"/>
                    </w:rPr>
                    <w:t>处理率＝回收处理数÷应回处理总数×100%</w:t>
                  </w:r>
                </w:p>
              </w:tc>
              <w:tc>
                <w:tcPr>
                  <w:tcW w:w="2343" w:type="dxa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hint="eastAsia" w:ascii="等线" w:hAnsi="等线" w:eastAsia="等线" w:cs="等线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ascii="等线" w:hAnsi="等线" w:eastAsia="等线" w:cs="等线"/>
                    </w:rPr>
                    <w:t>100%</w:t>
                  </w:r>
                </w:p>
              </w:tc>
            </w:tr>
          </w:tbl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目标可测量，与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组织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管理方针一致。有实施落实的方案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抽查2021年1-10月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统计结果，目标均已完成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询问负责人林珍，基本了解其工作目标，满足监视、沟通等控制要求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</w:t>
            </w:r>
          </w:p>
        </w:tc>
        <w:tc>
          <w:tcPr>
            <w:tcW w:w="732" w:type="dxa"/>
          </w:tcPr>
          <w:p>
            <w:pPr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2" w:hRule="atLeast"/>
        </w:trPr>
        <w:tc>
          <w:tcPr>
            <w:tcW w:w="2173" w:type="dxa"/>
            <w:vAlign w:val="top"/>
          </w:tcPr>
          <w:p>
            <w:pPr>
              <w:spacing w:line="360" w:lineRule="auto"/>
              <w:jc w:val="both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  <w:t>外部提供过程、产品和服务的控制</w:t>
            </w:r>
          </w:p>
          <w:p>
            <w:pPr>
              <w:spacing w:line="360" w:lineRule="auto"/>
              <w:jc w:val="both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  <w:t>分包管理</w:t>
            </w:r>
          </w:p>
          <w:p>
            <w:pPr>
              <w:pStyle w:val="20"/>
              <w:jc w:val="both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5" w:type="dxa"/>
            <w:vAlign w:val="top"/>
          </w:tcPr>
          <w:p>
            <w:pPr>
              <w:spacing w:line="360" w:lineRule="auto"/>
              <w:jc w:val="both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Q8.4</w:t>
            </w:r>
          </w:p>
          <w:p>
            <w:pPr>
              <w:pStyle w:val="20"/>
              <w:rPr>
                <w:rFonts w:hint="eastAsia" w:ascii="等线" w:hAnsi="等线" w:eastAsia="等线" w:cs="等线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  <w:t>O8.1.4</w:t>
            </w:r>
          </w:p>
          <w:p>
            <w:pPr>
              <w:pStyle w:val="20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60" w:lineRule="auto"/>
              <w:ind w:firstLine="308" w:firstLineChars="147"/>
              <w:jc w:val="both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27" w:type="dxa"/>
            <w:vAlign w:val="center"/>
          </w:tcPr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lang w:val="en-US" w:eastAsia="zh-CN"/>
              </w:rPr>
              <w:t>组织编制了《外部提供产品、过程和服务控制程序》，也制定了《供方绩效准则》</w:t>
            </w:r>
            <w:r>
              <w:rPr>
                <w:rFonts w:hint="eastAsia" w:ascii="等线" w:hAnsi="等线" w:eastAsia="等线" w:cs="等线"/>
              </w:rPr>
              <w:t>明确了根据</w:t>
            </w:r>
            <w:r>
              <w:rPr>
                <w:rFonts w:hint="eastAsia" w:ascii="等线" w:hAnsi="等线" w:eastAsia="等线" w:cs="等线"/>
                <w:lang w:val="en-US" w:eastAsia="zh-CN"/>
              </w:rPr>
              <w:t>派交</w:t>
            </w:r>
            <w:r>
              <w:rPr>
                <w:rFonts w:hint="eastAsia" w:ascii="等线" w:hAnsi="等线" w:eastAsia="等线" w:cs="等线"/>
              </w:rPr>
              <w:t>单，编制</w:t>
            </w:r>
            <w:r>
              <w:rPr>
                <w:rFonts w:hint="eastAsia" w:ascii="等线" w:hAnsi="等线" w:eastAsia="等线" w:cs="等线"/>
                <w:lang w:val="en-US" w:eastAsia="zh-CN"/>
              </w:rPr>
              <w:t>采购单</w:t>
            </w:r>
            <w:r>
              <w:rPr>
                <w:rFonts w:hint="eastAsia" w:ascii="等线" w:hAnsi="等线" w:eastAsia="等线" w:cs="等线"/>
              </w:rPr>
              <w:t>。对</w:t>
            </w:r>
            <w:r>
              <w:rPr>
                <w:rFonts w:hint="eastAsia" w:ascii="等线" w:hAnsi="等线" w:eastAsia="等线" w:cs="等线"/>
                <w:lang w:val="en-US" w:eastAsia="zh-CN"/>
              </w:rPr>
              <w:t>供方</w:t>
            </w:r>
            <w:r>
              <w:rPr>
                <w:rFonts w:hint="eastAsia" w:ascii="等线" w:hAnsi="等线" w:eastAsia="等线" w:cs="等线"/>
              </w:rPr>
              <w:t>进行定期评价，内容包括：</w:t>
            </w:r>
            <w:r>
              <w:rPr>
                <w:rFonts w:hint="eastAsia" w:ascii="等线" w:hAnsi="等线" w:eastAsia="等线" w:cs="等线"/>
                <w:lang w:val="en-US" w:eastAsia="zh-CN"/>
              </w:rPr>
              <w:t>供方规模、市场信誉、供货能力；供方的供货期、付款方式；供方质量保证能力</w:t>
            </w:r>
            <w:r>
              <w:rPr>
                <w:rFonts w:hint="eastAsia" w:ascii="等线" w:hAnsi="等线" w:eastAsia="等线" w:cs="等线"/>
              </w:rPr>
              <w:t>等内容。经由总经理确认后，纳入合格供方</w:t>
            </w:r>
            <w:r>
              <w:rPr>
                <w:rFonts w:hint="eastAsia" w:ascii="等线" w:hAnsi="等线" w:eastAsia="等线" w:cs="等线"/>
                <w:lang w:val="en-US" w:eastAsia="zh-CN"/>
              </w:rPr>
              <w:t>名录</w:t>
            </w:r>
            <w:r>
              <w:rPr>
                <w:rFonts w:hint="eastAsia" w:ascii="等线" w:hAnsi="等线" w:eastAsia="等线" w:cs="等线"/>
              </w:rPr>
              <w:t>。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lang w:val="en-US" w:eastAsia="zh-CN"/>
              </w:rPr>
              <w:t>提供供应商评审表：包括供应商名称、种类、物料来源（制造商）、企业负责人、业务联系方式、评鉴方式、评鉴意见（相关部门）等内容。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lang w:val="en-US" w:eastAsia="zh-CN"/>
              </w:rPr>
              <w:t>提供的供货商包括：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lang w:val="en-US" w:eastAsia="zh-CN"/>
              </w:rPr>
              <w:t>①</w:t>
            </w:r>
            <w:r>
              <w:rPr>
                <w:rFonts w:hint="eastAsia" w:ascii="等线" w:hAnsi="等线" w:eastAsia="等线" w:cs="等线"/>
              </w:rPr>
              <w:t>临海市琦琦百货商店</w:t>
            </w:r>
            <w:r>
              <w:rPr>
                <w:rFonts w:hint="eastAsia" w:ascii="等线" w:hAnsi="等线" w:eastAsia="等线" w:cs="等线"/>
                <w:lang w:val="en-US" w:eastAsia="zh-CN"/>
              </w:rPr>
              <w:tab/>
            </w:r>
            <w:r>
              <w:rPr>
                <w:rFonts w:hint="eastAsia" w:ascii="等线" w:hAnsi="等线" w:eastAsia="等线" w:cs="等线"/>
              </w:rPr>
              <w:t>办公用品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lang w:val="en-US" w:eastAsia="zh-CN"/>
              </w:rPr>
              <w:t>②</w:t>
            </w:r>
            <w:r>
              <w:rPr>
                <w:rFonts w:hint="eastAsia" w:ascii="等线" w:hAnsi="等线" w:eastAsia="等线" w:cs="等线"/>
              </w:rPr>
              <w:t>临海市海望五金商行</w:t>
            </w:r>
            <w:r>
              <w:rPr>
                <w:rFonts w:hint="eastAsia" w:ascii="等线" w:hAnsi="等线" w:eastAsia="等线" w:cs="等线"/>
                <w:lang w:val="en-US" w:eastAsia="zh-CN"/>
              </w:rPr>
              <w:tab/>
            </w:r>
            <w:r>
              <w:rPr>
                <w:rFonts w:hint="eastAsia" w:ascii="等线" w:hAnsi="等线" w:eastAsia="等线" w:cs="等线"/>
              </w:rPr>
              <w:t>五金用品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lang w:val="en-US" w:eastAsia="zh-CN"/>
              </w:rPr>
              <w:t>③</w:t>
            </w:r>
            <w:r>
              <w:rPr>
                <w:rFonts w:hint="eastAsia" w:ascii="等线" w:hAnsi="等线" w:eastAsia="等线" w:cs="等线"/>
              </w:rPr>
              <w:t>路桥文斐服饰有限公司</w:t>
            </w:r>
            <w:r>
              <w:rPr>
                <w:rFonts w:hint="eastAsia" w:ascii="等线" w:hAnsi="等线" w:eastAsia="等线" w:cs="等线"/>
                <w:lang w:val="en-US" w:eastAsia="zh-CN"/>
              </w:rPr>
              <w:tab/>
            </w:r>
            <w:r>
              <w:rPr>
                <w:rFonts w:hint="eastAsia" w:ascii="等线" w:hAnsi="等线" w:eastAsia="等线" w:cs="等线"/>
              </w:rPr>
              <w:t>服饰用品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lang w:val="en-US" w:eastAsia="zh-CN"/>
              </w:rPr>
              <w:t>④</w:t>
            </w:r>
            <w:r>
              <w:rPr>
                <w:rFonts w:hint="eastAsia" w:ascii="等线" w:hAnsi="等线" w:eastAsia="等线" w:cs="等线"/>
              </w:rPr>
              <w:t>京东自营店（上海圆迈贸易有限公司）各类商品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lang w:val="en-US" w:eastAsia="zh-CN"/>
              </w:rPr>
              <w:t>⑤</w:t>
            </w:r>
            <w:r>
              <w:rPr>
                <w:rFonts w:hint="eastAsia" w:ascii="等线" w:hAnsi="等线" w:eastAsia="等线" w:cs="等线"/>
              </w:rPr>
              <w:t>台州上欣环境服务有限公司</w:t>
            </w:r>
            <w:r>
              <w:rPr>
                <w:rFonts w:hint="eastAsia" w:ascii="等线" w:hAnsi="等线" w:eastAsia="等线" w:cs="等线"/>
                <w:lang w:val="en-US" w:eastAsia="zh-CN"/>
              </w:rPr>
              <w:t xml:space="preserve">   </w:t>
            </w:r>
            <w:r>
              <w:rPr>
                <w:rFonts w:hint="eastAsia" w:ascii="等线" w:hAnsi="等线" w:eastAsia="等线" w:cs="等线"/>
              </w:rPr>
              <w:t>办公耗材</w:t>
            </w:r>
            <w:r>
              <w:rPr>
                <w:rFonts w:hint="eastAsia" w:ascii="等线" w:hAnsi="等线" w:eastAsia="等线" w:cs="等线"/>
                <w:lang w:val="en-US" w:eastAsia="zh-CN"/>
              </w:rPr>
              <w:t>等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lang w:val="en-US" w:eastAsia="zh-CN"/>
              </w:rPr>
              <w:t>组织有对供应商进行评审，建立了合格供应商清单，符合要求。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lang w:val="en-US" w:eastAsia="zh-CN"/>
              </w:rPr>
              <w:t>外包项目主要为物业管理过程中的保安服务；分包方为：台州市东部保安服务有限公司；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lang w:val="en-US" w:eastAsia="zh-CN"/>
              </w:rPr>
              <w:t>提供评价材料包括：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lang w:val="en-US" w:eastAsia="zh-CN"/>
              </w:rPr>
              <w:t>①浙江省公司厅发的保安服务许可证②营业执照③劳务派遗经营许可证等均在有效期内。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color w:val="FF0000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FF0000"/>
                <w:lang w:val="en-US" w:eastAsia="zh-CN"/>
              </w:rPr>
              <w:t>查安保服务协议书：</w:t>
            </w:r>
          </w:p>
          <w:p>
            <w:pPr>
              <w:spacing w:line="280" w:lineRule="exact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lang w:val="en-US" w:eastAsia="zh-CN"/>
              </w:rPr>
              <w:t>查《相关方环境及职业健康安全告知书》，内容覆盖组织对供方采购的环境和职业健康安全基本准则，满足要求。</w:t>
            </w:r>
          </w:p>
        </w:tc>
        <w:tc>
          <w:tcPr>
            <w:tcW w:w="732" w:type="dxa"/>
          </w:tcPr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7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环境因素识别，危险源辨识、风险评估及控制措施</w:t>
            </w:r>
          </w:p>
        </w:tc>
        <w:tc>
          <w:tcPr>
            <w:tcW w:w="96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EO:6.1.2/6.1.4</w:t>
            </w:r>
          </w:p>
        </w:tc>
        <w:tc>
          <w:tcPr>
            <w:tcW w:w="10927" w:type="dxa"/>
            <w:vAlign w:val="top"/>
          </w:tcPr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组织根据手册第6.1.2条款、《环境因素识别与评价控制程序》要求，在办公区、项目处等场所，按照活动过程调查、识别和确定了环境因素及其环境影响，对环境因素的□正常□异常□紧急状态进行评价，对应责任部门明确，有相应的保存期限、责任人和制定日期，基本满足环境因素识别、确定和保持要求。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组织按照《环境因素识别与评价控制程序》准则确定了重要环境因素，抽查组织《重要环境因素一览表》内容如下：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30480</wp:posOffset>
                  </wp:positionV>
                  <wp:extent cx="5977890" cy="1551305"/>
                  <wp:effectExtent l="0" t="0" r="3810" b="10795"/>
                  <wp:wrapTopAndBottom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7890" cy="155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重要环境因素识别、评价与实际吻合，控制措施基本能够满足控制要求。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组织根据手册6.1.2条款、《危险源辨识、风险和机遇评价管理程序》要求，由综合办公室负责编制《危险源辨识、风险评价表》，指导各职能部门（基层单位）开展危险、有害因素风险识别、评价，负责各职能部门（基层单位）风险评价记录的审查与控制效果有效性验证。组织有建立、更新《重要风险危险源清单》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等线" w:hAnsi="等线" w:eastAsia="等线" w:cs="等线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抽查重要危险源（部分）如下：</w:t>
            </w:r>
          </w:p>
          <w:p>
            <w:pPr>
              <w:pStyle w:val="2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80645</wp:posOffset>
                  </wp:positionV>
                  <wp:extent cx="5835650" cy="2443480"/>
                  <wp:effectExtent l="0" t="0" r="6350" b="7620"/>
                  <wp:wrapTopAndBottom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0" cy="244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识别、评价和控制均处于有效监视状态，符合要求。各项目处</w:t>
            </w:r>
            <w:r>
              <w:rPr>
                <w:rFonts w:hint="eastAsia" w:ascii="等线" w:hAnsi="等线" w:eastAsia="等线" w:cs="等线"/>
                <w:szCs w:val="21"/>
              </w:rPr>
              <w:t>具体环境因素和危险源的识别和控制见各</w:t>
            </w: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项目处</w:t>
            </w:r>
            <w:r>
              <w:rPr>
                <w:rFonts w:hint="eastAsia" w:ascii="等线" w:hAnsi="等线" w:eastAsia="等线" w:cs="等线"/>
                <w:szCs w:val="21"/>
              </w:rPr>
              <w:t>的审核记录。</w:t>
            </w:r>
          </w:p>
        </w:tc>
        <w:tc>
          <w:tcPr>
            <w:tcW w:w="732" w:type="dxa"/>
          </w:tcPr>
          <w:p>
            <w:pPr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73" w:type="dxa"/>
            <w:vAlign w:val="top"/>
          </w:tcPr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运行策划和控制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EO8.1</w:t>
            </w:r>
          </w:p>
        </w:tc>
        <w:tc>
          <w:tcPr>
            <w:tcW w:w="10927" w:type="dxa"/>
            <w:vAlign w:val="center"/>
          </w:tcPr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组织编制了与环境、安全管理体系运行控制有关的文件有《环境因素识别与评价管理程序》、《危险源辨识与风险评价控制措施管理程序》等。组织的环境与职业健康安全运行策划与控制情况如下：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1.废水管控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主要生活废水排入政府污水管网统一处理。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2.固废管控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生活垃圾，办公室有垃圾篓集中倒入垃圾站，由项目部送至统一地点集中处理。危废（墨盒、硒鼓、灯管）排放由供应商回收处置。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3.能源资源管控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办公过程注意节水、节电、节油，人走关闭开关，未发现有漏水和浪费电能的现象。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4.潜在火灾管控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综合办公室现场配备了消防栓和灭火器，状态有效，办公区域配置的消防设施均有相应的记录，满足要求。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5.触电安全防护：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现场电线布线合理，不允许私拉乱扔，漏电保护器状态良好。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6.安全防护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疫情期间出入人员进行温度登记，查看健康码和通行码；组织给员工发放口罩等劳保用品。</w:t>
            </w:r>
          </w:p>
        </w:tc>
        <w:tc>
          <w:tcPr>
            <w:tcW w:w="732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73" w:type="dxa"/>
            <w:vAlign w:val="top"/>
          </w:tcPr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应急响应和准备</w:t>
            </w:r>
          </w:p>
        </w:tc>
        <w:tc>
          <w:tcPr>
            <w:tcW w:w="965" w:type="dxa"/>
            <w:vAlign w:val="top"/>
          </w:tcPr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EO8.2</w:t>
            </w:r>
          </w:p>
        </w:tc>
        <w:tc>
          <w:tcPr>
            <w:tcW w:w="10927" w:type="dxa"/>
            <w:vAlign w:val="center"/>
          </w:tcPr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组织编制了《应急准备和响应控制程序》，查看内容基本符合要求。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策划了应急预案包括触电、火灾、中暑、疫情防控等应急预案。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组织进行了消防灭火和触电演练，查应急演练记录内容如下：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default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演练时间：2021年6月14日，演练包括灭火演练和急救两部分内容；地点：物业项目部；对演练过程进行了描述，并对预案的有效性进行了评价，满足控制要求。</w:t>
            </w:r>
          </w:p>
          <w:p>
            <w:pPr>
              <w:adjustRightInd w:val="0"/>
              <w:snapToGrid w:val="0"/>
              <w:ind w:right="105" w:rightChars="50" w:firstLine="420" w:firstLineChars="200"/>
              <w:textAlignment w:val="baseline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目前未发生火灾、触电人身伤害等事故。</w:t>
            </w:r>
          </w:p>
        </w:tc>
        <w:tc>
          <w:tcPr>
            <w:tcW w:w="732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Y</w:t>
            </w:r>
          </w:p>
        </w:tc>
      </w:tr>
    </w:tbl>
    <w:p>
      <w:pPr>
        <w:pStyle w:val="11"/>
        <w:rPr>
          <w:rFonts w:hint="eastAsia"/>
        </w:rPr>
      </w:pPr>
    </w:p>
    <w:p>
      <w:pPr>
        <w:pStyle w:val="11"/>
        <w:rPr>
          <w:rFonts w:hint="eastAsia"/>
        </w:rPr>
      </w:pPr>
    </w:p>
    <w:p>
      <w:pPr>
        <w:pStyle w:val="11"/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11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26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26"/>
        <w:rFonts w:hint="default"/>
      </w:rPr>
      <w:t>北京国标联合认证有限公司</w:t>
    </w:r>
    <w:r>
      <w:rPr>
        <w:rStyle w:val="26"/>
        <w:rFonts w:hint="default"/>
      </w:rPr>
      <w:tab/>
    </w:r>
    <w:r>
      <w:rPr>
        <w:rStyle w:val="26"/>
        <w:rFonts w:hint="default"/>
      </w:rPr>
      <w:tab/>
    </w:r>
    <w:r>
      <w:rPr>
        <w:rStyle w:val="26"/>
        <w:rFonts w:hint="default"/>
      </w:rPr>
      <w:tab/>
    </w:r>
  </w:p>
  <w:p>
    <w:pPr>
      <w:pStyle w:val="12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-31管理体系审核记录表(03版)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Qaq5dYAAAAKAQAADwAAAAAAAAABACAAAAAiAAAAZHJzL2Rvd25yZXYu&#10;eG1sUEsBAhQAFAAAAAgAh07iQO6djL7EAQAAegMAAA4AAAAAAAAAAQAgAAAAJQ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-31管理体系审核记录表(03版)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26"/>
        <w:rFonts w:hint="default"/>
        <w:w w:val="90"/>
      </w:rPr>
      <w:t>Beijing International Standard united Certification Co.,Ltd.</w:t>
    </w:r>
  </w:p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92DEA"/>
    <w:multiLevelType w:val="multilevel"/>
    <w:tmpl w:val="0DB92DEA"/>
    <w:lvl w:ilvl="0" w:tentative="0">
      <w:start w:val="1"/>
      <w:numFmt w:val="decimal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425" w:hanging="425"/>
      </w:pPr>
      <w:rPr>
        <w:rFonts w:hint="default" w:ascii="Calibri" w:hAnsi="Calibri" w:cs="Calibri"/>
        <w:sz w:val="32"/>
        <w:szCs w:val="32"/>
      </w:rPr>
    </w:lvl>
    <w:lvl w:ilvl="2" w:tentative="0">
      <w:start w:val="1"/>
      <w:numFmt w:val="decimal"/>
      <w:pStyle w:val="3"/>
      <w:suff w:val="space"/>
      <w:lvlText w:val="%1.%2.%3"/>
      <w:lvlJc w:val="left"/>
      <w:pPr>
        <w:ind w:left="567" w:hanging="567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1418" w:hanging="567"/>
      </w:pPr>
      <w:rPr>
        <w:rFonts w:hint="eastAsia"/>
        <w:b/>
      </w:rPr>
    </w:lvl>
    <w:lvl w:ilvl="4" w:tentative="0">
      <w:start w:val="1"/>
      <w:numFmt w:val="decimal"/>
      <w:suff w:val="space"/>
      <w:lvlText w:val="%1.%2.%3.%4.%5"/>
      <w:lvlJc w:val="left"/>
      <w:pPr>
        <w:ind w:left="2835" w:hanging="709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2693" w:hanging="99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2F494E82"/>
    <w:multiLevelType w:val="multilevel"/>
    <w:tmpl w:val="2F494E82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1"/>
      <w:suff w:val="nothing"/>
      <w:lvlText w:val="%1.%2.%3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3905"/>
    <w:rsid w:val="007B3DAF"/>
    <w:rsid w:val="00DB72B2"/>
    <w:rsid w:val="00ED266B"/>
    <w:rsid w:val="00F43426"/>
    <w:rsid w:val="00F72ABE"/>
    <w:rsid w:val="010F4C60"/>
    <w:rsid w:val="01E3771F"/>
    <w:rsid w:val="024F1167"/>
    <w:rsid w:val="027A5C11"/>
    <w:rsid w:val="02B74B3F"/>
    <w:rsid w:val="03314A7D"/>
    <w:rsid w:val="03971E0B"/>
    <w:rsid w:val="03BF4DF3"/>
    <w:rsid w:val="04104F4D"/>
    <w:rsid w:val="04476F14"/>
    <w:rsid w:val="0458744E"/>
    <w:rsid w:val="050D203E"/>
    <w:rsid w:val="050F7AD6"/>
    <w:rsid w:val="0515091E"/>
    <w:rsid w:val="056F513E"/>
    <w:rsid w:val="05F12FC1"/>
    <w:rsid w:val="06276BA1"/>
    <w:rsid w:val="071E0BD8"/>
    <w:rsid w:val="071E5396"/>
    <w:rsid w:val="07252F75"/>
    <w:rsid w:val="07511AB9"/>
    <w:rsid w:val="077168B6"/>
    <w:rsid w:val="07760118"/>
    <w:rsid w:val="07DD4098"/>
    <w:rsid w:val="08151499"/>
    <w:rsid w:val="08193D3A"/>
    <w:rsid w:val="085F30D4"/>
    <w:rsid w:val="0872572E"/>
    <w:rsid w:val="0875081F"/>
    <w:rsid w:val="08870786"/>
    <w:rsid w:val="08F215E2"/>
    <w:rsid w:val="09296E07"/>
    <w:rsid w:val="09B01C49"/>
    <w:rsid w:val="09E31136"/>
    <w:rsid w:val="09EB1CAA"/>
    <w:rsid w:val="0A165B13"/>
    <w:rsid w:val="0A7372D5"/>
    <w:rsid w:val="0AAD3E63"/>
    <w:rsid w:val="0ABE51AD"/>
    <w:rsid w:val="0B063520"/>
    <w:rsid w:val="0B59105B"/>
    <w:rsid w:val="0BED6A15"/>
    <w:rsid w:val="0C0635C5"/>
    <w:rsid w:val="0C1A06B5"/>
    <w:rsid w:val="0C361B65"/>
    <w:rsid w:val="0C3B40FC"/>
    <w:rsid w:val="0CE5132C"/>
    <w:rsid w:val="0D0518EE"/>
    <w:rsid w:val="0D444194"/>
    <w:rsid w:val="0D4B347F"/>
    <w:rsid w:val="0D570C8A"/>
    <w:rsid w:val="0DDC4A26"/>
    <w:rsid w:val="0E04283D"/>
    <w:rsid w:val="0F033D06"/>
    <w:rsid w:val="0F9C26D4"/>
    <w:rsid w:val="10146BF1"/>
    <w:rsid w:val="104F6DAF"/>
    <w:rsid w:val="107D501B"/>
    <w:rsid w:val="10B27CAD"/>
    <w:rsid w:val="11273C0B"/>
    <w:rsid w:val="1174748E"/>
    <w:rsid w:val="11915D99"/>
    <w:rsid w:val="11EC7CB4"/>
    <w:rsid w:val="120C44D2"/>
    <w:rsid w:val="121C34B5"/>
    <w:rsid w:val="130F1D4C"/>
    <w:rsid w:val="134C3D0E"/>
    <w:rsid w:val="138C3317"/>
    <w:rsid w:val="13A84DED"/>
    <w:rsid w:val="13B66175"/>
    <w:rsid w:val="13ED22A6"/>
    <w:rsid w:val="13FB79B0"/>
    <w:rsid w:val="140B4438"/>
    <w:rsid w:val="14496629"/>
    <w:rsid w:val="1492636B"/>
    <w:rsid w:val="14A062F4"/>
    <w:rsid w:val="15825C14"/>
    <w:rsid w:val="16D67ED2"/>
    <w:rsid w:val="16E26F0E"/>
    <w:rsid w:val="16F02E90"/>
    <w:rsid w:val="17062B69"/>
    <w:rsid w:val="182164BB"/>
    <w:rsid w:val="188972CF"/>
    <w:rsid w:val="18B95C0D"/>
    <w:rsid w:val="18D068A4"/>
    <w:rsid w:val="19122210"/>
    <w:rsid w:val="194A1301"/>
    <w:rsid w:val="195576C8"/>
    <w:rsid w:val="19CA6AEA"/>
    <w:rsid w:val="1A4A1F1B"/>
    <w:rsid w:val="1AB22DB0"/>
    <w:rsid w:val="1B04548A"/>
    <w:rsid w:val="1B3A1DD3"/>
    <w:rsid w:val="1C4D73A6"/>
    <w:rsid w:val="1C984EA9"/>
    <w:rsid w:val="1CF54D0D"/>
    <w:rsid w:val="1D173593"/>
    <w:rsid w:val="1D5510E6"/>
    <w:rsid w:val="1D8927A9"/>
    <w:rsid w:val="1DAA697C"/>
    <w:rsid w:val="1DBC259A"/>
    <w:rsid w:val="1DFC4614"/>
    <w:rsid w:val="1E57661E"/>
    <w:rsid w:val="1E8D2F4B"/>
    <w:rsid w:val="1F5A25AA"/>
    <w:rsid w:val="1F87166B"/>
    <w:rsid w:val="1FD86AB0"/>
    <w:rsid w:val="20093412"/>
    <w:rsid w:val="20221AB6"/>
    <w:rsid w:val="206320A6"/>
    <w:rsid w:val="20641CD2"/>
    <w:rsid w:val="206D5617"/>
    <w:rsid w:val="209C2F82"/>
    <w:rsid w:val="20D87DD3"/>
    <w:rsid w:val="21333CB9"/>
    <w:rsid w:val="215B5EE3"/>
    <w:rsid w:val="2170552A"/>
    <w:rsid w:val="21725EAA"/>
    <w:rsid w:val="21BD1856"/>
    <w:rsid w:val="21F775B6"/>
    <w:rsid w:val="21FE778F"/>
    <w:rsid w:val="222511D3"/>
    <w:rsid w:val="222A7E1E"/>
    <w:rsid w:val="22A33E3D"/>
    <w:rsid w:val="23C53F61"/>
    <w:rsid w:val="24784392"/>
    <w:rsid w:val="24AF1061"/>
    <w:rsid w:val="2528193B"/>
    <w:rsid w:val="25444A65"/>
    <w:rsid w:val="25E77305"/>
    <w:rsid w:val="264941D1"/>
    <w:rsid w:val="26703415"/>
    <w:rsid w:val="268F7A4C"/>
    <w:rsid w:val="26A21C12"/>
    <w:rsid w:val="26E32CAC"/>
    <w:rsid w:val="27416481"/>
    <w:rsid w:val="276F23A0"/>
    <w:rsid w:val="277F67AF"/>
    <w:rsid w:val="27C231BC"/>
    <w:rsid w:val="280C386E"/>
    <w:rsid w:val="283C5AAF"/>
    <w:rsid w:val="28AC6FA1"/>
    <w:rsid w:val="28AD7F2A"/>
    <w:rsid w:val="290772D8"/>
    <w:rsid w:val="29526A59"/>
    <w:rsid w:val="29991719"/>
    <w:rsid w:val="29DB75AB"/>
    <w:rsid w:val="29DD78B7"/>
    <w:rsid w:val="2A0F693C"/>
    <w:rsid w:val="2A4B79CF"/>
    <w:rsid w:val="2A583BDC"/>
    <w:rsid w:val="2A620C64"/>
    <w:rsid w:val="2A796167"/>
    <w:rsid w:val="2B846F6E"/>
    <w:rsid w:val="2BDE2DFD"/>
    <w:rsid w:val="2C1F26D0"/>
    <w:rsid w:val="2C313F83"/>
    <w:rsid w:val="2C3D292E"/>
    <w:rsid w:val="2C477944"/>
    <w:rsid w:val="2C681735"/>
    <w:rsid w:val="2CB46FDB"/>
    <w:rsid w:val="2DFB27B7"/>
    <w:rsid w:val="2E632213"/>
    <w:rsid w:val="2ED42FAB"/>
    <w:rsid w:val="2F366741"/>
    <w:rsid w:val="30AB4D93"/>
    <w:rsid w:val="310F448E"/>
    <w:rsid w:val="325B5177"/>
    <w:rsid w:val="32625B19"/>
    <w:rsid w:val="32FA5B66"/>
    <w:rsid w:val="33077788"/>
    <w:rsid w:val="33803AE5"/>
    <w:rsid w:val="33DA419B"/>
    <w:rsid w:val="340D5819"/>
    <w:rsid w:val="34C2320E"/>
    <w:rsid w:val="34FD6C4E"/>
    <w:rsid w:val="357F7BE6"/>
    <w:rsid w:val="359E5DA6"/>
    <w:rsid w:val="36292E46"/>
    <w:rsid w:val="36C67F48"/>
    <w:rsid w:val="36FE6ED4"/>
    <w:rsid w:val="370C0EF6"/>
    <w:rsid w:val="37A03B9A"/>
    <w:rsid w:val="38790F4B"/>
    <w:rsid w:val="38871868"/>
    <w:rsid w:val="38C773A4"/>
    <w:rsid w:val="38D65753"/>
    <w:rsid w:val="39824704"/>
    <w:rsid w:val="39A15878"/>
    <w:rsid w:val="39AD5135"/>
    <w:rsid w:val="39F545FE"/>
    <w:rsid w:val="3A7733B5"/>
    <w:rsid w:val="3A8F42DA"/>
    <w:rsid w:val="3ACC739E"/>
    <w:rsid w:val="3AF251B7"/>
    <w:rsid w:val="3AFD3559"/>
    <w:rsid w:val="3B1825C5"/>
    <w:rsid w:val="3B320E51"/>
    <w:rsid w:val="3B8023A1"/>
    <w:rsid w:val="3B8519B2"/>
    <w:rsid w:val="3B874061"/>
    <w:rsid w:val="3C676135"/>
    <w:rsid w:val="3CB60938"/>
    <w:rsid w:val="3D0E3869"/>
    <w:rsid w:val="3D586B1B"/>
    <w:rsid w:val="3EB82705"/>
    <w:rsid w:val="3EC5675F"/>
    <w:rsid w:val="3F767015"/>
    <w:rsid w:val="3FF56E77"/>
    <w:rsid w:val="40543EF5"/>
    <w:rsid w:val="405F7DF3"/>
    <w:rsid w:val="408A5C74"/>
    <w:rsid w:val="40CC02CC"/>
    <w:rsid w:val="40D031F2"/>
    <w:rsid w:val="40D83E9F"/>
    <w:rsid w:val="40E4142D"/>
    <w:rsid w:val="41736CE5"/>
    <w:rsid w:val="41982DB7"/>
    <w:rsid w:val="419D4385"/>
    <w:rsid w:val="420F0402"/>
    <w:rsid w:val="43126C97"/>
    <w:rsid w:val="431E0008"/>
    <w:rsid w:val="434D13B2"/>
    <w:rsid w:val="437753D5"/>
    <w:rsid w:val="43870EA7"/>
    <w:rsid w:val="43B70C81"/>
    <w:rsid w:val="44292AD4"/>
    <w:rsid w:val="4469254F"/>
    <w:rsid w:val="44B27C2A"/>
    <w:rsid w:val="451A3510"/>
    <w:rsid w:val="46300AAA"/>
    <w:rsid w:val="469B1CAE"/>
    <w:rsid w:val="46AE5FF3"/>
    <w:rsid w:val="4732799B"/>
    <w:rsid w:val="474D75E2"/>
    <w:rsid w:val="48150E11"/>
    <w:rsid w:val="48212EC4"/>
    <w:rsid w:val="4862186A"/>
    <w:rsid w:val="48B614A6"/>
    <w:rsid w:val="48CB5056"/>
    <w:rsid w:val="49370AB5"/>
    <w:rsid w:val="4A0C4B1D"/>
    <w:rsid w:val="4B031B7A"/>
    <w:rsid w:val="4BA4167F"/>
    <w:rsid w:val="4BF806A6"/>
    <w:rsid w:val="4C540BEC"/>
    <w:rsid w:val="4C6427BD"/>
    <w:rsid w:val="4CE66527"/>
    <w:rsid w:val="4D221E11"/>
    <w:rsid w:val="4D271D07"/>
    <w:rsid w:val="4D4D6563"/>
    <w:rsid w:val="4E230FE8"/>
    <w:rsid w:val="4E3C6E2B"/>
    <w:rsid w:val="4E3E4E22"/>
    <w:rsid w:val="4E4832CD"/>
    <w:rsid w:val="4E835676"/>
    <w:rsid w:val="4ED23221"/>
    <w:rsid w:val="4F0F48AA"/>
    <w:rsid w:val="4F5278CB"/>
    <w:rsid w:val="4FB9214A"/>
    <w:rsid w:val="4FC5339D"/>
    <w:rsid w:val="4FC66683"/>
    <w:rsid w:val="4FD23DCD"/>
    <w:rsid w:val="4FE20E43"/>
    <w:rsid w:val="50243E54"/>
    <w:rsid w:val="50425DAA"/>
    <w:rsid w:val="50A713CB"/>
    <w:rsid w:val="513405CC"/>
    <w:rsid w:val="513813F3"/>
    <w:rsid w:val="515A41FC"/>
    <w:rsid w:val="519B1D3C"/>
    <w:rsid w:val="524D2A61"/>
    <w:rsid w:val="527E73EA"/>
    <w:rsid w:val="52802927"/>
    <w:rsid w:val="52896B76"/>
    <w:rsid w:val="52C428A5"/>
    <w:rsid w:val="53604C26"/>
    <w:rsid w:val="54431A0E"/>
    <w:rsid w:val="54552B6D"/>
    <w:rsid w:val="54D44AC7"/>
    <w:rsid w:val="553F67DC"/>
    <w:rsid w:val="55CE15C1"/>
    <w:rsid w:val="56112655"/>
    <w:rsid w:val="56A42262"/>
    <w:rsid w:val="5711455E"/>
    <w:rsid w:val="578025E6"/>
    <w:rsid w:val="57802FAE"/>
    <w:rsid w:val="57930337"/>
    <w:rsid w:val="57B9702B"/>
    <w:rsid w:val="57D07126"/>
    <w:rsid w:val="58260B9B"/>
    <w:rsid w:val="58500DD6"/>
    <w:rsid w:val="5855243C"/>
    <w:rsid w:val="585D3DF0"/>
    <w:rsid w:val="58746F33"/>
    <w:rsid w:val="58CF6491"/>
    <w:rsid w:val="58D25A73"/>
    <w:rsid w:val="58D54B9A"/>
    <w:rsid w:val="59BE02C8"/>
    <w:rsid w:val="59D624CA"/>
    <w:rsid w:val="5A4A3433"/>
    <w:rsid w:val="5AA804F6"/>
    <w:rsid w:val="5B0B47FB"/>
    <w:rsid w:val="5B4B0AC3"/>
    <w:rsid w:val="5B4F64F7"/>
    <w:rsid w:val="5B847D2C"/>
    <w:rsid w:val="5C265B99"/>
    <w:rsid w:val="5CA0213D"/>
    <w:rsid w:val="5D156FA2"/>
    <w:rsid w:val="5D551BFA"/>
    <w:rsid w:val="5D6E0C63"/>
    <w:rsid w:val="5DE977F8"/>
    <w:rsid w:val="5F0F1DD3"/>
    <w:rsid w:val="5F207068"/>
    <w:rsid w:val="5F760B65"/>
    <w:rsid w:val="5FA27792"/>
    <w:rsid w:val="5FC058C0"/>
    <w:rsid w:val="5FF35C58"/>
    <w:rsid w:val="60364859"/>
    <w:rsid w:val="603C0D48"/>
    <w:rsid w:val="605F13F0"/>
    <w:rsid w:val="608A1A55"/>
    <w:rsid w:val="60A1719B"/>
    <w:rsid w:val="60E35500"/>
    <w:rsid w:val="6121278F"/>
    <w:rsid w:val="612625AA"/>
    <w:rsid w:val="6148542E"/>
    <w:rsid w:val="61817E3C"/>
    <w:rsid w:val="620F6776"/>
    <w:rsid w:val="62367E65"/>
    <w:rsid w:val="624038C5"/>
    <w:rsid w:val="6265623A"/>
    <w:rsid w:val="628F111D"/>
    <w:rsid w:val="629E1DFA"/>
    <w:rsid w:val="62A86D2A"/>
    <w:rsid w:val="62B23D75"/>
    <w:rsid w:val="62E0271D"/>
    <w:rsid w:val="62EB5301"/>
    <w:rsid w:val="632C14AF"/>
    <w:rsid w:val="6376327D"/>
    <w:rsid w:val="63E65CAD"/>
    <w:rsid w:val="644205E4"/>
    <w:rsid w:val="644D1DFE"/>
    <w:rsid w:val="646D3247"/>
    <w:rsid w:val="65364107"/>
    <w:rsid w:val="65DC4836"/>
    <w:rsid w:val="65DF3879"/>
    <w:rsid w:val="661357A0"/>
    <w:rsid w:val="663D1963"/>
    <w:rsid w:val="667A086C"/>
    <w:rsid w:val="66F23DA0"/>
    <w:rsid w:val="67591F27"/>
    <w:rsid w:val="67BF5964"/>
    <w:rsid w:val="67ED0162"/>
    <w:rsid w:val="680C1D11"/>
    <w:rsid w:val="68675294"/>
    <w:rsid w:val="688A2780"/>
    <w:rsid w:val="689E3E83"/>
    <w:rsid w:val="68ED24C0"/>
    <w:rsid w:val="691F79AD"/>
    <w:rsid w:val="698334C9"/>
    <w:rsid w:val="6AEB0406"/>
    <w:rsid w:val="6B1662A0"/>
    <w:rsid w:val="6B324C90"/>
    <w:rsid w:val="6C075B40"/>
    <w:rsid w:val="6C9A762A"/>
    <w:rsid w:val="6CC64A9C"/>
    <w:rsid w:val="6CDF240E"/>
    <w:rsid w:val="6D3D73A6"/>
    <w:rsid w:val="6DB55520"/>
    <w:rsid w:val="6E32632A"/>
    <w:rsid w:val="6E83674B"/>
    <w:rsid w:val="6F81410E"/>
    <w:rsid w:val="6FCA1424"/>
    <w:rsid w:val="70222ADB"/>
    <w:rsid w:val="70323211"/>
    <w:rsid w:val="71277622"/>
    <w:rsid w:val="716B506C"/>
    <w:rsid w:val="71805FEF"/>
    <w:rsid w:val="71C8773D"/>
    <w:rsid w:val="71E940A1"/>
    <w:rsid w:val="72F8265E"/>
    <w:rsid w:val="73235F29"/>
    <w:rsid w:val="73A823EF"/>
    <w:rsid w:val="74775FC0"/>
    <w:rsid w:val="749414A1"/>
    <w:rsid w:val="76084588"/>
    <w:rsid w:val="766B05BB"/>
    <w:rsid w:val="76B83908"/>
    <w:rsid w:val="76EA4765"/>
    <w:rsid w:val="77197ED0"/>
    <w:rsid w:val="77392219"/>
    <w:rsid w:val="77AB14FD"/>
    <w:rsid w:val="78624DA5"/>
    <w:rsid w:val="78773C75"/>
    <w:rsid w:val="78AB0C68"/>
    <w:rsid w:val="78E328E5"/>
    <w:rsid w:val="79046A88"/>
    <w:rsid w:val="79130FEA"/>
    <w:rsid w:val="79662E86"/>
    <w:rsid w:val="79EA0D2A"/>
    <w:rsid w:val="7A2141E3"/>
    <w:rsid w:val="7A33156C"/>
    <w:rsid w:val="7AC27882"/>
    <w:rsid w:val="7AF83AAC"/>
    <w:rsid w:val="7B011597"/>
    <w:rsid w:val="7B0924ED"/>
    <w:rsid w:val="7B2075DD"/>
    <w:rsid w:val="7B2A00C7"/>
    <w:rsid w:val="7B5D5082"/>
    <w:rsid w:val="7B88734F"/>
    <w:rsid w:val="7BD16A01"/>
    <w:rsid w:val="7C3F1BA4"/>
    <w:rsid w:val="7CD32026"/>
    <w:rsid w:val="7CEB71BA"/>
    <w:rsid w:val="7D9C7A9A"/>
    <w:rsid w:val="7DD06F88"/>
    <w:rsid w:val="7DE85FE7"/>
    <w:rsid w:val="7ED21CB4"/>
    <w:rsid w:val="7F69510B"/>
    <w:rsid w:val="7F806C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4"/>
    <w:next w:val="4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Chars="0"/>
      <w:outlineLvl w:val="2"/>
    </w:pPr>
    <w:rPr>
      <w:b/>
      <w:bCs/>
      <w:kern w:val="0"/>
      <w:sz w:val="30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4"/>
      <w:szCs w:val="24"/>
    </w:rPr>
  </w:style>
  <w:style w:type="paragraph" w:customStyle="1" w:styleId="6">
    <w:name w:val="一级条标题"/>
    <w:basedOn w:val="7"/>
    <w:next w:val="1"/>
    <w:qFormat/>
    <w:uiPriority w:val="0"/>
    <w:pPr>
      <w:spacing w:line="240" w:lineRule="auto"/>
      <w:ind w:left="420"/>
      <w:outlineLvl w:val="2"/>
    </w:pPr>
  </w:style>
  <w:style w:type="paragraph" w:customStyle="1" w:styleId="7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styleId="8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</w:rPr>
  </w:style>
  <w:style w:type="paragraph" w:styleId="10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spacing w:after="120" w:line="480" w:lineRule="auto"/>
    </w:pPr>
    <w:rPr>
      <w:rFonts w:asciiTheme="minorHAnsi" w:hAnsiTheme="minorHAnsi" w:eastAsiaTheme="minorEastAsia" w:cstheme="minorBidi"/>
    </w:rPr>
  </w:style>
  <w:style w:type="paragraph" w:styleId="14">
    <w:name w:val="Body Text First Indent"/>
    <w:basedOn w:val="5"/>
    <w:unhideWhenUsed/>
    <w:qFormat/>
    <w:uiPriority w:val="99"/>
    <w:pPr>
      <w:spacing w:before="100" w:beforeAutospacing="1"/>
      <w:ind w:firstLine="420" w:firstLineChars="100"/>
    </w:pPr>
  </w:style>
  <w:style w:type="paragraph" w:styleId="15">
    <w:name w:val="Body Text First Indent 2"/>
    <w:basedOn w:val="8"/>
    <w:unhideWhenUsed/>
    <w:qFormat/>
    <w:uiPriority w:val="99"/>
    <w:pPr>
      <w:ind w:firstLine="420" w:firstLineChars="200"/>
    </w:pPr>
    <w:rPr>
      <w:szCs w:val="24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paragraph" w:customStyle="1" w:styleId="20">
    <w:name w:val="表格文字"/>
    <w:basedOn w:val="1"/>
    <w:qFormat/>
    <w:uiPriority w:val="99"/>
    <w:pPr>
      <w:spacing w:before="25" w:after="25"/>
    </w:pPr>
    <w:rPr>
      <w:bCs/>
      <w:spacing w:val="10"/>
    </w:rPr>
  </w:style>
  <w:style w:type="paragraph" w:customStyle="1" w:styleId="21">
    <w:name w:val="二级条标题"/>
    <w:basedOn w:val="6"/>
    <w:next w:val="1"/>
    <w:qFormat/>
    <w:uiPriority w:val="0"/>
    <w:pPr>
      <w:numPr>
        <w:ilvl w:val="2"/>
        <w:numId w:val="2"/>
      </w:numPr>
      <w:ind w:left="210"/>
    </w:pPr>
  </w:style>
  <w:style w:type="paragraph" w:customStyle="1" w:styleId="2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character" w:customStyle="1" w:styleId="23">
    <w:name w:val="页眉 Char"/>
    <w:basedOn w:val="18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Char"/>
    <w:basedOn w:val="18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框文本 Char"/>
    <w:basedOn w:val="18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9">
    <w:name w:val="NormalCharacter"/>
    <w:semiHidden/>
    <w:qFormat/>
    <w:uiPriority w:val="0"/>
  </w:style>
  <w:style w:type="paragraph" w:customStyle="1" w:styleId="30">
    <w:name w:val="_Style 2"/>
    <w:basedOn w:val="1"/>
    <w:qFormat/>
    <w:uiPriority w:val="34"/>
    <w:pPr>
      <w:ind w:firstLine="420" w:firstLineChars="200"/>
    </w:pPr>
    <w:rPr>
      <w:rFonts w:ascii="Calibri" w:hAnsi="Calibr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110</TotalTime>
  <ScaleCrop>false</ScaleCrop>
  <LinksUpToDate>false</LinksUpToDate>
  <CharactersWithSpaces>101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wangxianhua</cp:lastModifiedBy>
  <dcterms:modified xsi:type="dcterms:W3CDTF">2022-01-14T07:27:41Z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67BF84454BBC4E29ACCCC2B733438D2A</vt:lpwstr>
  </property>
</Properties>
</file>