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0748-2020-QEO-2021</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路特斯科技（天津）有限公司</w:t>
      </w:r>
      <w:bookmarkEnd w:id="1"/>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r>
        <w:rPr>
          <w:rFonts w:hint="eastAsia"/>
          <w:sz w:val="28"/>
          <w:szCs w:val="28"/>
          <w:u w:val="single"/>
          <w:lang w:val="en-US" w:eastAsia="zh-CN"/>
        </w:rPr>
        <w:t>监督1</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r>
        <w:rPr>
          <w:rFonts w:hint="eastAsia"/>
          <w:sz w:val="28"/>
          <w:szCs w:val="28"/>
          <w:u w:val="single"/>
          <w:lang w:val="en-US" w:eastAsia="zh-CN"/>
        </w:rPr>
        <w:t>监督1</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r>
        <w:rPr>
          <w:rFonts w:hint="eastAsia"/>
          <w:sz w:val="28"/>
          <w:szCs w:val="28"/>
          <w:u w:val="single"/>
          <w:lang w:val="en-US" w:eastAsia="zh-CN"/>
        </w:rPr>
        <w:t>监督1</w:t>
      </w:r>
    </w:p>
    <w:p>
      <w:pPr>
        <w:jc w:val="left"/>
        <w:rPr>
          <w:sz w:val="28"/>
          <w:szCs w:val="28"/>
        </w:rPr>
      </w:pPr>
      <w:r>
        <w:rPr>
          <w:rFonts w:hint="eastAsia"/>
          <w:sz w:val="28"/>
          <w:szCs w:val="28"/>
        </w:rPr>
        <w:t xml:space="preserve"> </w:t>
      </w: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路特斯科技（天津）有限公司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天津市武清区京滨工业园古达路60号</w:t>
            </w:r>
          </w:p>
        </w:tc>
        <w:tc>
          <w:tcPr>
            <w:tcW w:w="1242" w:type="dxa"/>
            <w:vMerge w:val="restart"/>
            <w:vAlign w:val="center"/>
          </w:tcPr>
          <w:p>
            <w:r>
              <w:rPr>
                <w:rFonts w:hint="eastAsia"/>
              </w:rPr>
              <w:t>邮编</w:t>
            </w:r>
          </w:p>
        </w:tc>
        <w:tc>
          <w:tcPr>
            <w:tcW w:w="1771" w:type="dxa"/>
            <w:vAlign w:val="top"/>
          </w:tcPr>
          <w:p>
            <w:r>
              <w:t>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天津市武清区源和道16号</w:t>
            </w:r>
          </w:p>
        </w:tc>
        <w:tc>
          <w:tcPr>
            <w:tcW w:w="1242" w:type="dxa"/>
            <w:vMerge w:val="continue"/>
            <w:vAlign w:val="center"/>
          </w:tcPr>
          <w:p/>
        </w:tc>
        <w:tc>
          <w:tcPr>
            <w:tcW w:w="1771" w:type="dxa"/>
            <w:vAlign w:val="top"/>
          </w:tcPr>
          <w:p>
            <w:r>
              <w:t>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杨涛</w:t>
            </w:r>
          </w:p>
        </w:tc>
        <w:tc>
          <w:tcPr>
            <w:tcW w:w="1313" w:type="dxa"/>
            <w:vAlign w:val="center"/>
          </w:tcPr>
          <w:p>
            <w:r>
              <w:rPr>
                <w:rFonts w:hint="eastAsia"/>
              </w:rPr>
              <w:t>电话.</w:t>
            </w:r>
          </w:p>
        </w:tc>
        <w:tc>
          <w:tcPr>
            <w:tcW w:w="2180" w:type="dxa"/>
            <w:vAlign w:val="center"/>
          </w:tcPr>
          <w:p>
            <w:r>
              <w:t>022-59678004</w:t>
            </w:r>
          </w:p>
        </w:tc>
        <w:tc>
          <w:tcPr>
            <w:tcW w:w="1242" w:type="dxa"/>
            <w:vAlign w:val="center"/>
          </w:tcPr>
          <w:p>
            <w:r>
              <w:rPr>
                <w:rFonts w:hint="eastAsia"/>
              </w:rPr>
              <w:t>传真</w:t>
            </w:r>
          </w:p>
        </w:tc>
        <w:tc>
          <w:tcPr>
            <w:tcW w:w="1771" w:type="dxa"/>
            <w:vAlign w:val="top"/>
          </w:tcPr>
          <w:p>
            <w:bookmarkStart w:id="5" w:name="联系人传真"/>
            <w:bookmarkEnd w:id="5"/>
            <w:r>
              <w:t>010- 67073493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王菁</w:t>
            </w:r>
          </w:p>
        </w:tc>
        <w:tc>
          <w:tcPr>
            <w:tcW w:w="1313" w:type="dxa"/>
            <w:vAlign w:val="center"/>
          </w:tcPr>
          <w:p>
            <w:r>
              <w:rPr>
                <w:rFonts w:hint="eastAsia"/>
              </w:rPr>
              <w:t>管理者代表</w:t>
            </w:r>
          </w:p>
        </w:tc>
        <w:tc>
          <w:tcPr>
            <w:tcW w:w="2180" w:type="dxa"/>
            <w:vAlign w:val="top"/>
          </w:tcPr>
          <w:p>
            <w:r>
              <w:t>张立兰</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themeColor="text1"/>
                <w:szCs w:val="22"/>
                <w:lang w:eastAsia="zh-CN"/>
              </w:rPr>
            </w:pPr>
          </w:p>
          <w:p>
            <w:pPr>
              <w:rPr>
                <w:rFonts w:hint="eastAsia"/>
              </w:rPr>
            </w:pPr>
            <w:r>
              <w:rPr>
                <w:rFonts w:hint="eastAsia"/>
              </w:rPr>
              <w:t xml:space="preserve"> 销售：客户接触----合同评审----签订合同-----客户付款------入帐------采购-----客户提货-----验收</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6" w:name="审核日期"/>
            <w:r>
              <w:rPr>
                <w:rFonts w:hint="eastAsia"/>
              </w:rPr>
              <w:t>2021年12月26日 上午至2021年12月26日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4" w:name="监督勾选Add1"/>
            <w:r>
              <w:rPr>
                <w:rFonts w:hint="eastAsia"/>
              </w:rPr>
              <w:t>■</w:t>
            </w:r>
            <w:bookmarkEnd w:id="14"/>
            <w:r>
              <w:rPr>
                <w:rFonts w:hint="eastAsia"/>
              </w:rPr>
              <w:t xml:space="preserve">监督 第 </w:t>
            </w:r>
            <w:bookmarkStart w:id="15" w:name="监督次数"/>
            <w:r>
              <w:rPr>
                <w:rFonts w:hint="eastAsia"/>
              </w:rPr>
              <w:t>一</w:t>
            </w:r>
            <w:bookmarkEnd w:id="15"/>
            <w:r>
              <w:rPr>
                <w:rFonts w:hint="eastAsia"/>
              </w:rPr>
              <w:t xml:space="preserve"> 次监督审核  </w:t>
            </w:r>
            <w:bookmarkStart w:id="16" w:name="再认证勾选"/>
            <w:r>
              <w:rPr>
                <w:rFonts w:hint="eastAsia"/>
              </w:rPr>
              <w:t>□</w:t>
            </w:r>
            <w:bookmarkEnd w:id="16"/>
            <w:r>
              <w:rPr>
                <w:rFonts w:hint="eastAsia"/>
              </w:rPr>
              <w:t xml:space="preserve">再认证 </w:t>
            </w:r>
            <w:bookmarkStart w:id="17" w:name="扩项勾选Add1"/>
            <w:r>
              <w:rPr>
                <w:rFonts w:hint="eastAsia"/>
              </w:rPr>
              <w:t>□</w:t>
            </w:r>
            <w:bookmarkEnd w:id="1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Q：加湿器、仪器仪表（控制器、变频器、触摸屏、触摸屏自主终端、压差传感器、温湿度传感器、尘埃粒子计数器）、空调设备及配件、配电开关自动控制设备的销售</w:t>
            </w:r>
          </w:p>
          <w:p>
            <w:r>
              <w:t>E：加湿器、仪器仪表（控制器、变频器、触摸屏、触摸屏自主终端、压差传感器、温湿度传感器、尘埃粒子计数器）、空调设备及配件、配电开关自动控制设备的销售所涉及场所的相关环境管理活动</w:t>
            </w:r>
          </w:p>
          <w:p>
            <w:pPr>
              <w:rPr>
                <w:rFonts w:hint="eastAsia"/>
                <w:color w:val="FF0000"/>
              </w:rPr>
            </w:pPr>
            <w:r>
              <w:t>O：加湿器、仪器仪表（控制器、变频器、触摸屏、触摸屏自主终端、压差传感器、温湿度传感器、尘埃粒子计数器）、空调设备及配件、配电开关自动控制设备的销售所涉及场所的相关职业健康安全管理活动</w:t>
            </w:r>
          </w:p>
        </w:tc>
        <w:tc>
          <w:tcPr>
            <w:tcW w:w="3215" w:type="dxa"/>
            <w:vAlign w:val="center"/>
          </w:tcPr>
          <w:p>
            <w:pPr>
              <w:rPr>
                <w:color w:val="FF0000"/>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pPr>
              <w:rPr>
                <w:color w:val="FF0000"/>
              </w:rPr>
            </w:pPr>
          </w:p>
        </w:tc>
        <w:tc>
          <w:tcPr>
            <w:tcW w:w="3215" w:type="dxa"/>
            <w:vAlign w:val="center"/>
          </w:tcPr>
          <w:p>
            <w:r>
              <w:t>Q：29.12.00</w:t>
            </w:r>
          </w:p>
          <w:p>
            <w:r>
              <w:t>E：29.12.00</w:t>
            </w:r>
          </w:p>
          <w:p>
            <w:pPr>
              <w:rPr>
                <w:color w:val="FF0000"/>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ascii="宋体" w:hAnsi="宋体"/>
                <w:b/>
                <w:color w:val="000000" w:themeColor="text1"/>
                <w:sz w:val="20"/>
                <w:szCs w:val="20"/>
                <w:u w:val="none"/>
              </w:rPr>
              <w:t>8.3  不适用理由：因该公司的销售服务，按照顾客的要求进行，该条款的不适用,不影响组织确保其产品和服务合格的能力和责任，也不会对增强顾客满意产生影响。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hint="eastAsia" w:ascii="宋体" w:hAnsi="宋体" w:cs="宋体"/>
                <w:color w:val="000000"/>
                <w:kern w:val="0"/>
                <w:szCs w:val="21"/>
              </w:rPr>
              <w:t>销售服务</w:t>
            </w:r>
            <w:r>
              <w:rPr>
                <w:rFonts w:hint="eastAsia" w:ascii="宋体" w:hAnsi="宋体" w:cs="宋体"/>
                <w:color w:val="000000"/>
                <w:kern w:val="0"/>
                <w:szCs w:val="21"/>
                <w:lang w:val="en-US" w:eastAsia="zh-CN"/>
              </w:rPr>
              <w:t>按照合同</w:t>
            </w:r>
            <w:r>
              <w:rPr>
                <w:rFonts w:hint="eastAsia" w:ascii="宋体" w:hAnsi="宋体"/>
                <w:color w:val="000000" w:themeColor="text1"/>
                <w:szCs w:val="21"/>
                <w:lang w:val="en-US" w:eastAsia="zh-CN"/>
              </w:rPr>
              <w:t>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年 </w:t>
            </w:r>
            <w:r>
              <w:rPr>
                <w:rFonts w:hint="eastAsia"/>
                <w:lang w:val="en-US" w:eastAsia="zh-CN"/>
              </w:rPr>
              <w:t>3</w:t>
            </w:r>
            <w:r>
              <w:rPr>
                <w:rFonts w:hint="eastAsia"/>
              </w:rPr>
              <w:t>月</w:t>
            </w:r>
            <w:r>
              <w:rPr>
                <w:rFonts w:hint="eastAsia"/>
                <w:lang w:val="en-US" w:eastAsia="zh-CN"/>
              </w:rPr>
              <w:t>15</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rPr>
            </w:pPr>
            <w:r>
              <w:rPr>
                <w:rFonts w:hint="eastAsia"/>
              </w:rPr>
              <w:t>上次审核时间</w:t>
            </w:r>
          </w:p>
        </w:tc>
        <w:tc>
          <w:tcPr>
            <w:tcW w:w="2733" w:type="dxa"/>
            <w:vAlign w:val="center"/>
          </w:tcPr>
          <w:p>
            <w:pPr>
              <w:rPr>
                <w:rFonts w:hint="eastAsia"/>
              </w:rPr>
            </w:pPr>
            <w:r>
              <w:rPr>
                <w:rFonts w:hint="eastAsia"/>
              </w:rPr>
              <w:t>2021-03-27 -- 2021-03-27</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2024-1-4</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ascii="宋体" w:hAnsi="宋体" w:cs="宋体"/>
                <w:color w:val="000000"/>
                <w:kern w:val="0"/>
                <w:szCs w:val="21"/>
              </w:rPr>
              <w:t>路特斯科技（天津）有限公司</w:t>
            </w:r>
            <w:r>
              <w:rPr>
                <w:rFonts w:hint="eastAsia" w:ascii="宋体" w:hAnsi="宋体" w:cs="宋体"/>
                <w:color w:val="000000"/>
                <w:kern w:val="0"/>
                <w:szCs w:val="21"/>
                <w:lang w:val="en-US" w:eastAsia="zh-CN"/>
              </w:rPr>
              <w:t>/</w:t>
            </w:r>
            <w:bookmarkStart w:id="18" w:name="注册地址"/>
            <w:r>
              <w:rPr>
                <w:rFonts w:hint="eastAsia" w:ascii="宋体" w:hAnsi="宋体" w:cs="宋体"/>
                <w:color w:val="000000"/>
                <w:kern w:val="0"/>
                <w:szCs w:val="21"/>
              </w:rPr>
              <w:t>天津市武清区京滨工业园古达路60号</w:t>
            </w:r>
            <w:bookmarkEnd w:id="18"/>
          </w:p>
        </w:tc>
        <w:tc>
          <w:tcPr>
            <w:tcW w:w="1534" w:type="dxa"/>
          </w:tcPr>
          <w:p>
            <w:pPr>
              <w:rPr>
                <w:rFonts w:hint="eastAsia" w:eastAsia="宋体"/>
                <w:lang w:val="en-US" w:eastAsia="zh-CN"/>
              </w:rPr>
            </w:pPr>
            <w:bookmarkStart w:id="19" w:name="生产地址"/>
            <w:r>
              <w:rPr>
                <w:rFonts w:ascii="宋体" w:hAnsi="宋体" w:cs="宋体"/>
                <w:color w:val="000000"/>
                <w:kern w:val="0"/>
                <w:szCs w:val="21"/>
              </w:rPr>
              <w:t>天津市武清区源和道16号</w:t>
            </w:r>
            <w:bookmarkEnd w:id="19"/>
          </w:p>
        </w:tc>
        <w:tc>
          <w:tcPr>
            <w:tcW w:w="958" w:type="dxa"/>
            <w:vAlign w:val="center"/>
          </w:tcPr>
          <w:p>
            <w:pPr>
              <w:rPr>
                <w:rFonts w:hint="default" w:eastAsia="宋体"/>
                <w:lang w:val="en-US" w:eastAsia="zh-CN"/>
              </w:rPr>
            </w:pPr>
            <w:r>
              <w:rPr>
                <w:rFonts w:hint="eastAsia"/>
                <w:lang w:val="en-US" w:eastAsia="zh-CN"/>
              </w:rPr>
              <w:t>20</w:t>
            </w:r>
          </w:p>
        </w:tc>
        <w:tc>
          <w:tcPr>
            <w:tcW w:w="1917" w:type="dxa"/>
            <w:vAlign w:val="center"/>
          </w:tcPr>
          <w:p>
            <w:pPr>
              <w:rPr>
                <w:rFonts w:hint="eastAsia" w:eastAsia="宋体"/>
                <w:lang w:val="en-US" w:eastAsia="zh-CN"/>
              </w:rPr>
            </w:pPr>
            <w:r>
              <w:rPr>
                <w:rFonts w:ascii="宋体" w:hAnsi="宋体" w:cs="宋体"/>
                <w:color w:val="000000"/>
                <w:kern w:val="0"/>
                <w:szCs w:val="21"/>
              </w:rPr>
              <w:t>加湿器、仪器仪表（控制器、变频器、触摸屏、触摸屏自主终端、压差传感器、温湿度传感器、尘埃粒子计数器）、空调设备及配件、配电开关自动控制设备的销售</w:t>
            </w:r>
          </w:p>
        </w:tc>
        <w:tc>
          <w:tcPr>
            <w:tcW w:w="1901" w:type="dxa"/>
            <w:vAlign w:val="center"/>
          </w:tcPr>
          <w:p>
            <w:pPr>
              <w:rPr>
                <w:lang w:eastAsia="ja-JP"/>
              </w:rPr>
            </w:pPr>
            <w:bookmarkStart w:id="20" w:name="审核依据"/>
            <w:r>
              <w:rPr>
                <w:rFonts w:hint="eastAsia" w:ascii="宋体" w:hAnsi="宋体"/>
                <w:snapToGrid w:val="0"/>
                <w:color w:val="000000"/>
                <w:kern w:val="0"/>
                <w:sz w:val="18"/>
                <w:szCs w:val="21"/>
              </w:rPr>
              <w:t>Q：GB/T19001-2016/ISO9001:2015,E：GB/T 24001-2016/ISO14001:2015,O：GB/T45001-2020 / ISO45001：2018</w:t>
            </w:r>
            <w:bookmarkEnd w:id="20"/>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Q:29.12.00</w:t>
            </w:r>
          </w:p>
          <w:p>
            <w:r>
              <w:t>E:29.12.00</w:t>
            </w:r>
          </w:p>
          <w:p>
            <w:pPr>
              <w:rPr>
                <w:rFonts w:ascii="Times New Roman" w:hAnsi="Times New Roman" w:eastAsia="宋体" w:cs="Times New Roman"/>
                <w:kern w:val="2"/>
                <w:sz w:val="21"/>
                <w:szCs w:val="24"/>
                <w:lang w:val="en-US" w:eastAsia="zh-CN" w:bidi="ar-SA"/>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张鹏</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2020-N1QMS-1239640</w:t>
            </w:r>
          </w:p>
          <w:p>
            <w:r>
              <w:t>2020-N1EMS-1239640</w:t>
            </w:r>
          </w:p>
          <w:p>
            <w:pPr>
              <w:rPr>
                <w:rFonts w:ascii="Times New Roman" w:hAnsi="Times New Roman" w:eastAsia="宋体" w:cs="Times New Roman"/>
                <w:kern w:val="2"/>
                <w:sz w:val="21"/>
                <w:szCs w:val="24"/>
                <w:lang w:val="en-US" w:eastAsia="zh-CN" w:bidi="ar-SA"/>
              </w:rPr>
            </w:pPr>
            <w:r>
              <w:t>2020-N1OHSMS-1239640</w:t>
            </w:r>
          </w:p>
        </w:tc>
        <w:tc>
          <w:tcPr>
            <w:tcW w:w="2179" w:type="dxa"/>
            <w:vAlign w:val="center"/>
          </w:tcPr>
          <w:p>
            <w:r>
              <w:t>Q:29.12.00</w:t>
            </w:r>
          </w:p>
          <w:p>
            <w:r>
              <w:t>E:29.12.00</w:t>
            </w:r>
          </w:p>
          <w:p>
            <w:pPr>
              <w:rPr>
                <w:rFonts w:ascii="Times New Roman" w:hAnsi="Times New Roman" w:eastAsia="宋体" w:cs="Times New Roman"/>
                <w:kern w:val="2"/>
                <w:sz w:val="21"/>
                <w:szCs w:val="24"/>
                <w:lang w:val="en-US" w:eastAsia="zh-CN" w:bidi="ar-SA"/>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1" w:name="Q勾选Add2"/>
            <w:r>
              <w:rPr>
                <w:rFonts w:hint="eastAsia"/>
              </w:rPr>
              <w:t>■</w:t>
            </w:r>
            <w:bookmarkEnd w:id="2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2021.12.26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rPr>
            </w:pPr>
            <w:r>
              <w:rPr>
                <w:rFonts w:hint="eastAsia"/>
              </w:rPr>
              <w:t>优质产品   顾客满意   守法经营   持续改进</w:t>
            </w:r>
          </w:p>
          <w:p>
            <w:pPr>
              <w:shd w:val="clear" w:color="auto" w:fill="C7DAF1" w:themeFill="text2" w:themeFillTint="32"/>
              <w:rPr>
                <w:rFonts w:hint="eastAsia"/>
              </w:rPr>
            </w:pPr>
            <w:r>
              <w:rPr>
                <w:rFonts w:hint="eastAsia"/>
              </w:rPr>
              <w:t xml:space="preserve">防污节能   遵规守法   绿色环保   持续改进   </w:t>
            </w:r>
          </w:p>
          <w:p>
            <w:pPr>
              <w:shd w:val="clear" w:color="auto" w:fill="C7DAF1" w:themeFill="text2" w:themeFillTint="32"/>
              <w:rPr>
                <w:rFonts w:hint="eastAsia"/>
              </w:rPr>
            </w:pPr>
            <w:r>
              <w:rPr>
                <w:rFonts w:hint="eastAsia"/>
              </w:rPr>
              <w:t>消除隐患   保障健康   遵规守法   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采购部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销售风险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人员的销售意识提供</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销售产品合格率</w:t>
                  </w:r>
                  <w:r>
                    <w:rPr>
                      <w:rFonts w:hint="eastAsia" w:hAnsi="宋体" w:cs="宋体"/>
                      <w:color w:val="000000"/>
                      <w:kern w:val="0"/>
                      <w:lang w:val="en-US" w:eastAsia="zh-CN" w:bidi="ar"/>
                    </w:rPr>
                    <w:t>95</w:t>
                  </w:r>
                  <w:r>
                    <w:rPr>
                      <w:rFonts w:hint="eastAsia" w:hAnsi="宋体" w:cs="宋体"/>
                      <w:color w:val="000000"/>
                      <w:kern w:val="0"/>
                      <w:lang w:bidi="ar"/>
                    </w:rPr>
                    <w:t>%；</w:t>
                  </w:r>
                </w:p>
              </w:tc>
              <w:tc>
                <w:tcPr>
                  <w:tcW w:w="3136" w:type="dxa"/>
                  <w:shd w:val="clear" w:color="auto" w:fill="auto"/>
                  <w:vAlign w:val="center"/>
                </w:tcPr>
                <w:p>
                  <w:pPr>
                    <w:shd w:val="clear" w:color="auto" w:fill="C7DAF1" w:themeFill="text2" w:themeFillTint="32"/>
                    <w:rPr>
                      <w:lang w:val="en-GB"/>
                    </w:rPr>
                  </w:pPr>
                  <w:r>
                    <w:rPr>
                      <w:rFonts w:hint="eastAsia"/>
                      <w:lang w:val="en-GB"/>
                    </w:rPr>
                    <w:t>销售产品合格率数量/销售产品总数量*100%；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w:t>
            </w:r>
            <w:r>
              <w:rPr>
                <w:rFonts w:hint="eastAsia"/>
                <w:u w:val="single"/>
                <w:lang w:val="en-US" w:eastAsia="zh-CN"/>
              </w:rPr>
              <w:t>100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szCs w:val="21"/>
              </w:rPr>
              <w:t>电话，电脑、打印机、复印机、空调、办公桌椅</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219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pPr>
                    <w:shd w:val="clear" w:color="auto" w:fill="C7DAF1" w:themeFill="text2" w:themeFillTint="32"/>
                    <w:jc w:val="left"/>
                  </w:pPr>
                  <w:r>
                    <w:rPr>
                      <w:rFonts w:hint="eastAsia"/>
                    </w:rPr>
                    <w:t>产品/服务名称</w:t>
                  </w:r>
                </w:p>
              </w:tc>
              <w:tc>
                <w:tcPr>
                  <w:tcW w:w="2191"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pPr>
                    <w:shd w:val="clear" w:color="auto" w:fill="C7DAF1" w:themeFill="text2" w:themeFillTint="32"/>
                    <w:jc w:val="left"/>
                    <w:rPr>
                      <w:rFonts w:hint="default" w:eastAsia="宋体"/>
                      <w:lang w:val="en-US" w:eastAsia="zh-CN"/>
                    </w:rPr>
                  </w:pPr>
                  <w:r>
                    <w:rPr>
                      <w:rFonts w:ascii="宋体" w:hAnsi="宋体" w:cs="宋体"/>
                      <w:color w:val="000000"/>
                      <w:kern w:val="0"/>
                      <w:szCs w:val="21"/>
                    </w:rPr>
                    <w:t>加湿器、仪器仪表（控制器、变频器、触摸屏、触摸屏自主终端、压差传感器、温湿度传感器、尘埃粒子计数器）、空调设备及配件、配电开关自动控制设备的销售</w:t>
                  </w:r>
                </w:p>
              </w:tc>
              <w:tc>
                <w:tcPr>
                  <w:tcW w:w="2191"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合同评审、销售发货、顾客回访、售后服务等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pPr>
                    <w:shd w:val="clear" w:color="auto" w:fill="C7DAF1" w:themeFill="text2" w:themeFillTint="32"/>
                    <w:jc w:val="left"/>
                  </w:pPr>
                </w:p>
              </w:tc>
              <w:tc>
                <w:tcPr>
                  <w:tcW w:w="2191"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pPr>
                    <w:shd w:val="clear" w:color="auto" w:fill="C7DAF1" w:themeFill="text2" w:themeFillTint="32"/>
                    <w:jc w:val="left"/>
                  </w:pPr>
                </w:p>
              </w:tc>
              <w:tc>
                <w:tcPr>
                  <w:tcW w:w="2191"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2021年7月1日-2日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12</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asciiTheme="minorEastAsia" w:hAnsiTheme="minorEastAsia" w:eastAsiaTheme="minorEastAsia"/>
                <w:szCs w:val="21"/>
              </w:rPr>
            </w:pPr>
            <w:r>
              <w:rPr>
                <w:rFonts w:hint="eastAsia" w:asciiTheme="minorEastAsia" w:hAnsiTheme="minorEastAsia" w:eastAsiaTheme="minorEastAsia"/>
                <w:szCs w:val="21"/>
              </w:rPr>
              <w:t>卫生安全，质量求生存；</w:t>
            </w:r>
          </w:p>
          <w:p>
            <w:pPr>
              <w:shd w:val="clear" w:color="auto" w:fill="C7DAF1" w:themeFill="text2" w:themeFillTint="32"/>
              <w:rPr>
                <w:rFonts w:hint="eastAsia"/>
              </w:rPr>
            </w:pPr>
            <w:r>
              <w:rPr>
                <w:rFonts w:hint="eastAsia"/>
              </w:rPr>
              <w:t>优质产品   顾客满意   守法经营   持续改进</w:t>
            </w:r>
          </w:p>
          <w:p>
            <w:pPr>
              <w:shd w:val="clear" w:color="auto" w:fill="C7DAF1" w:themeFill="text2" w:themeFillTint="32"/>
              <w:rPr>
                <w:rFonts w:hint="eastAsia"/>
              </w:rPr>
            </w:pPr>
            <w:r>
              <w:rPr>
                <w:rFonts w:hint="eastAsia"/>
              </w:rPr>
              <w:t xml:space="preserve">防污节能   遵规守法   绿色环保   持续改进   </w:t>
            </w:r>
          </w:p>
          <w:p>
            <w:pPr>
              <w:shd w:val="clear" w:color="auto" w:fill="C7DAF1" w:themeFill="text2" w:themeFillTint="32"/>
              <w:rPr>
                <w:rFonts w:hint="eastAsia"/>
              </w:rPr>
            </w:pPr>
            <w:r>
              <w:rPr>
                <w:rFonts w:hint="eastAsia"/>
              </w:rPr>
              <w:t>消除隐患   保障健康   遵规守法   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火灾的发生</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日常检查、应急演练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 xml:space="preserve"> 2021年7月1日-2日</w:t>
            </w:r>
            <w:r>
              <w:rPr>
                <w:rFonts w:hint="eastAsia"/>
              </w:rPr>
              <w:t>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8</w:t>
            </w:r>
            <w:r>
              <w:rPr>
                <w:rFonts w:hint="eastAsia"/>
              </w:rPr>
              <w:t>月</w:t>
            </w:r>
            <w:r>
              <w:rPr>
                <w:rFonts w:hint="eastAsia"/>
                <w:u w:val="single"/>
                <w:lang w:val="en-US" w:eastAsia="zh-CN"/>
              </w:rPr>
              <w:t>12</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优质产品   顾客满意   守法经营   持续改进</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防污节能   遵规守法   绿色环保   持续改进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消除隐患   保障健康   遵规守法   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采购部</w:t>
            </w:r>
          </w:p>
          <w:p>
            <w:pPr>
              <w:rPr>
                <w:rFonts w:hint="default" w:eastAsia="宋体"/>
                <w:lang w:val="en-US" w:eastAsia="zh-CN"/>
              </w:rPr>
            </w:pPr>
            <w:r>
              <w:rPr>
                <w:rFonts w:hint="eastAsia"/>
              </w:rPr>
              <w:t>安全的主管部门是——</w:t>
            </w:r>
            <w:r>
              <w:rPr>
                <w:rFonts w:hint="eastAsia"/>
                <w:lang w:val="en-US" w:eastAsia="zh-CN"/>
              </w:rPr>
              <w:t>采购部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cs="宋体"/>
                <w:b w:val="0"/>
                <w:bCs w:val="0"/>
                <w:snapToGrid w:val="0"/>
                <w:kern w:val="0"/>
                <w:sz w:val="21"/>
                <w:szCs w:val="21"/>
              </w:rPr>
              <w:t>唐天宇</w:t>
            </w:r>
            <w:r>
              <w:rPr>
                <w:rFonts w:hint="eastAsia" w:ascii="宋体" w:hAnsi="宋体" w:eastAsia="宋体" w:cs="宋体"/>
                <w:b w:val="0"/>
                <w:bCs w:val="0"/>
                <w:snapToGrid w:val="0"/>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100</w:t>
            </w:r>
            <w:bookmarkStart w:id="24" w:name="_GoBack"/>
            <w:bookmarkEnd w:id="24"/>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lang w:val="en-US" w:eastAsia="zh-CN"/>
              </w:rPr>
              <w:t>2021</w:t>
            </w:r>
            <w:r>
              <w:rPr>
                <w:rFonts w:hint="eastAsia"/>
                <w:u w:val="single"/>
              </w:rPr>
              <w:t xml:space="preserve">      </w:t>
            </w:r>
            <w:r>
              <w:rPr>
                <w:rFonts w:hint="eastAsia"/>
              </w:rPr>
              <w:t>年</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2021年7月1日-2日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12</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-67310</wp:posOffset>
          </wp:positionH>
          <wp:positionV relativeFrom="paragraph">
            <wp:posOffset>-50800</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0B4004"/>
    <w:rsid w:val="085464E3"/>
    <w:rsid w:val="11A003A9"/>
    <w:rsid w:val="15127974"/>
    <w:rsid w:val="20212AAB"/>
    <w:rsid w:val="2BE13F4C"/>
    <w:rsid w:val="2D794D9C"/>
    <w:rsid w:val="361A7120"/>
    <w:rsid w:val="375841FD"/>
    <w:rsid w:val="39302B9F"/>
    <w:rsid w:val="3B0B4456"/>
    <w:rsid w:val="3F8E5DE5"/>
    <w:rsid w:val="464863E3"/>
    <w:rsid w:val="4A726890"/>
    <w:rsid w:val="51925152"/>
    <w:rsid w:val="52654CB6"/>
    <w:rsid w:val="52A94F9E"/>
    <w:rsid w:val="57451AB7"/>
    <w:rsid w:val="701F2AB7"/>
    <w:rsid w:val="7FD04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19121</Words>
  <Characters>20179</Characters>
  <Lines>179</Lines>
  <Paragraphs>50</Paragraphs>
  <TotalTime>1</TotalTime>
  <ScaleCrop>false</ScaleCrop>
  <LinksUpToDate>false</LinksUpToDate>
  <CharactersWithSpaces>23099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2021-12-27T07:56:24Z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