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998"/>
        <w:gridCol w:w="1000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vAlign w:val="center"/>
          </w:tcPr>
          <w:p>
            <w:pPr>
              <w:rPr>
                <w:sz w:val="24"/>
                <w:szCs w:val="24"/>
              </w:rPr>
            </w:pPr>
            <w:r>
              <w:rPr>
                <w:rFonts w:hint="eastAsia"/>
                <w:sz w:val="24"/>
                <w:szCs w:val="24"/>
              </w:rPr>
              <w:t>受审核部门：办公</w:t>
            </w:r>
            <w:r>
              <w:rPr>
                <w:sz w:val="24"/>
                <w:szCs w:val="24"/>
              </w:rPr>
              <w:t>室</w:t>
            </w:r>
            <w:r>
              <w:rPr>
                <w:rFonts w:hint="eastAsia"/>
                <w:sz w:val="24"/>
                <w:szCs w:val="24"/>
              </w:rPr>
              <w:t xml:space="preserve">/财务部 </w:t>
            </w:r>
            <w:r>
              <w:rPr>
                <w:sz w:val="24"/>
                <w:szCs w:val="24"/>
              </w:rPr>
              <w:t xml:space="preserve">  </w:t>
            </w:r>
            <w:r>
              <w:rPr>
                <w:rFonts w:hint="eastAsia"/>
                <w:sz w:val="24"/>
                <w:szCs w:val="24"/>
              </w:rPr>
              <w:t>主管领导：</w:t>
            </w:r>
            <w:r>
              <w:rPr>
                <w:rFonts w:hint="eastAsia"/>
                <w:sz w:val="24"/>
                <w:szCs w:val="24"/>
                <w:lang w:val="en-US" w:eastAsia="zh-CN"/>
              </w:rPr>
              <w:t>王亮</w:t>
            </w:r>
            <w:r>
              <w:rPr>
                <w:sz w:val="24"/>
                <w:szCs w:val="24"/>
              </w:rPr>
              <w:t xml:space="preserve">  </w:t>
            </w:r>
            <w:r>
              <w:rPr>
                <w:rFonts w:hint="eastAsia"/>
                <w:sz w:val="24"/>
                <w:szCs w:val="24"/>
              </w:rPr>
              <w:t>陪同人员：胡</w:t>
            </w:r>
            <w:r>
              <w:rPr>
                <w:sz w:val="24"/>
                <w:szCs w:val="24"/>
              </w:rPr>
              <w:t>常成</w:t>
            </w:r>
          </w:p>
        </w:tc>
        <w:tc>
          <w:tcPr>
            <w:tcW w:w="158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3" w:type="dxa"/>
            <w:vMerge w:val="continue"/>
            <w:vAlign w:val="center"/>
          </w:tcPr>
          <w:p/>
        </w:tc>
        <w:tc>
          <w:tcPr>
            <w:tcW w:w="998" w:type="dxa"/>
            <w:vMerge w:val="continue"/>
            <w:vAlign w:val="center"/>
          </w:tcPr>
          <w:p/>
        </w:tc>
        <w:tc>
          <w:tcPr>
            <w:tcW w:w="10000" w:type="dxa"/>
            <w:vAlign w:val="center"/>
          </w:tcPr>
          <w:p>
            <w:pPr>
              <w:spacing w:before="120"/>
              <w:rPr>
                <w:sz w:val="24"/>
                <w:szCs w:val="24"/>
              </w:rPr>
            </w:pPr>
            <w:r>
              <w:rPr>
                <w:rFonts w:hint="eastAsia"/>
                <w:sz w:val="24"/>
                <w:szCs w:val="24"/>
              </w:rPr>
              <w:t>审核员：林兵、</w:t>
            </w:r>
            <w:r>
              <w:rPr>
                <w:rFonts w:hint="eastAsia"/>
                <w:sz w:val="24"/>
                <w:szCs w:val="24"/>
                <w:lang w:val="en-US" w:eastAsia="zh-CN"/>
              </w:rPr>
              <w:t>肖新龙、黄红</w:t>
            </w:r>
            <w:r>
              <w:rPr>
                <w:rFonts w:hint="eastAsia"/>
                <w:sz w:val="24"/>
                <w:szCs w:val="24"/>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年</w:t>
            </w:r>
            <w:r>
              <w:rPr>
                <w:sz w:val="24"/>
                <w:szCs w:val="24"/>
              </w:rPr>
              <w:t>1</w:t>
            </w:r>
            <w:r>
              <w:rPr>
                <w:rFonts w:hint="eastAsia"/>
                <w:sz w:val="24"/>
                <w:szCs w:val="24"/>
                <w:lang w:val="en-US" w:eastAsia="zh-CN"/>
              </w:rPr>
              <w:t>2</w:t>
            </w:r>
            <w:r>
              <w:rPr>
                <w:rFonts w:hint="eastAsia"/>
                <w:sz w:val="24"/>
                <w:szCs w:val="24"/>
              </w:rPr>
              <w:t>月</w:t>
            </w:r>
            <w:r>
              <w:rPr>
                <w:rFonts w:hint="eastAsia"/>
                <w:sz w:val="24"/>
                <w:szCs w:val="24"/>
                <w:lang w:val="en-US" w:eastAsia="zh-CN"/>
              </w:rPr>
              <w:t>29-30</w:t>
            </w:r>
            <w:r>
              <w:rPr>
                <w:rFonts w:hint="eastAsia"/>
                <w:sz w:val="24"/>
                <w:szCs w:val="24"/>
              </w:rPr>
              <w:t>日</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3" w:type="dxa"/>
            <w:vMerge w:val="continue"/>
            <w:vAlign w:val="center"/>
          </w:tcPr>
          <w:p/>
        </w:tc>
        <w:tc>
          <w:tcPr>
            <w:tcW w:w="998" w:type="dxa"/>
            <w:vMerge w:val="continue"/>
            <w:vAlign w:val="center"/>
          </w:tcPr>
          <w:p/>
        </w:tc>
        <w:tc>
          <w:tcPr>
            <w:tcW w:w="10000" w:type="dxa"/>
            <w:vAlign w:val="center"/>
          </w:tcPr>
          <w:p>
            <w:pPr>
              <w:jc w:val="left"/>
              <w:rPr>
                <w:szCs w:val="21"/>
              </w:rPr>
            </w:pPr>
            <w:r>
              <w:rPr>
                <w:rFonts w:hint="eastAsia"/>
                <w:szCs w:val="21"/>
              </w:rPr>
              <w:t>审核条款</w:t>
            </w:r>
          </w:p>
          <w:p>
            <w:pPr>
              <w:jc w:val="left"/>
              <w:rPr>
                <w:rFonts w:hint="eastAsia"/>
                <w:szCs w:val="21"/>
              </w:rPr>
            </w:pPr>
            <w:r>
              <w:rPr>
                <w:rFonts w:hint="eastAsia"/>
                <w:szCs w:val="21"/>
              </w:rPr>
              <w:t>QEOF: 5.3/6.2/7.2/7.3/7.4/ 7.5</w:t>
            </w:r>
          </w:p>
          <w:p>
            <w:pPr>
              <w:jc w:val="left"/>
              <w:rPr>
                <w:szCs w:val="21"/>
              </w:rPr>
            </w:pPr>
            <w:r>
              <w:rPr>
                <w:rFonts w:hint="eastAsia"/>
                <w:szCs w:val="21"/>
              </w:rPr>
              <w:t>E/O: 6.1.2-4/8.1/8.2/9.1.2</w:t>
            </w:r>
          </w:p>
        </w:tc>
        <w:tc>
          <w:tcPr>
            <w:tcW w:w="15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hint="eastAsia"/>
                <w:szCs w:val="21"/>
                <w:lang w:val="en-US" w:eastAsia="zh-CN"/>
              </w:rPr>
              <w:t>F</w:t>
            </w:r>
            <w:r>
              <w:rPr>
                <w:rFonts w:ascii="宋体" w:cs="宋体"/>
                <w:szCs w:val="21"/>
              </w:rPr>
              <w:t>5.3</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szCs w:val="21"/>
              </w:rPr>
              <w:t>办公</w:t>
            </w:r>
            <w:r>
              <w:rPr>
                <w:rFonts w:ascii="宋体" w:hAnsi="宋体" w:cs="宋体"/>
                <w:szCs w:val="21"/>
              </w:rPr>
              <w:t>室</w:t>
            </w:r>
            <w:r>
              <w:rPr>
                <w:rFonts w:hint="eastAsia" w:ascii="宋体" w:hAnsi="宋体" w:cs="宋体"/>
                <w:szCs w:val="21"/>
              </w:rPr>
              <w:t>共1人；</w:t>
            </w:r>
          </w:p>
          <w:p>
            <w:pPr>
              <w:spacing w:line="280" w:lineRule="exact"/>
              <w:ind w:firstLine="420" w:firstLineChars="200"/>
              <w:rPr>
                <w:rFonts w:ascii="宋体" w:hAnsi="宋体" w:cs="宋体"/>
                <w:szCs w:val="21"/>
              </w:rPr>
            </w:pP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w:t>
            </w:r>
            <w:r>
              <w:rPr>
                <w:rFonts w:ascii="宋体" w:hAnsi="宋体" w:cs="宋体"/>
                <w:szCs w:val="21"/>
              </w:rPr>
              <w:t>室</w:t>
            </w:r>
            <w:r>
              <w:rPr>
                <w:rFonts w:hint="eastAsia" w:ascii="宋体" w:hAnsi="宋体" w:cs="宋体"/>
                <w:szCs w:val="21"/>
              </w:rPr>
              <w:t>负责人：</w:t>
            </w:r>
            <w:r>
              <w:rPr>
                <w:rFonts w:hint="eastAsia" w:ascii="宋体" w:hAnsi="宋体" w:cs="宋体"/>
                <w:szCs w:val="21"/>
                <w:lang w:val="en-US" w:eastAsia="zh-CN"/>
              </w:rPr>
              <w:t>王亮</w:t>
            </w:r>
            <w:r>
              <w:rPr>
                <w:rFonts w:hint="eastAsia" w:ascii="宋体" w:hAnsi="宋体" w:cs="宋体"/>
                <w:szCs w:val="21"/>
              </w:rPr>
              <w:t>。在手册中确定了办公</w:t>
            </w:r>
            <w:r>
              <w:rPr>
                <w:rFonts w:ascii="宋体" w:hAnsi="宋体" w:cs="宋体"/>
                <w:szCs w:val="21"/>
              </w:rPr>
              <w:t>室</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办公室</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13"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0"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w:t>
            </w:r>
            <w:r>
              <w:rPr>
                <w:rFonts w:hint="eastAsia"/>
                <w:szCs w:val="21"/>
                <w:lang w:val="en-US" w:eastAsia="zh-CN"/>
              </w:rPr>
              <w:t>2021年度</w:t>
            </w:r>
            <w:r>
              <w:rPr>
                <w:rFonts w:hint="eastAsia"/>
                <w:szCs w:val="21"/>
              </w:rPr>
              <w:t>“环境因素评价表”，识别的环境因素对环境的影响；经查阅识别出对在办公活动中产生的纸张等消耗、固废排放、生活垃圾排放、火灾等环境因素及考虑到环境管理体系发生变更时可能产生的环境因素。</w:t>
            </w:r>
          </w:p>
          <w:p>
            <w:pPr>
              <w:spacing w:line="280" w:lineRule="exact"/>
              <w:ind w:firstLine="420" w:firstLineChars="200"/>
              <w:rPr>
                <w:szCs w:val="21"/>
              </w:rPr>
            </w:pPr>
            <w:r>
              <w:rPr>
                <w:rFonts w:hint="eastAsia"/>
                <w:szCs w:val="21"/>
                <w:lang w:val="en-US" w:eastAsia="zh-CN"/>
              </w:rPr>
              <w:t>识别的重要环境因素未变化</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rPr>
                <w:rFonts w:hint="eastAsia" w:eastAsia="宋体"/>
                <w:color w:val="FF0000"/>
                <w:szCs w:val="21"/>
                <w:lang w:eastAsia="zh-CN"/>
              </w:rPr>
            </w:pPr>
            <w:r>
              <w:rPr>
                <w:rFonts w:hint="eastAsia"/>
                <w:szCs w:val="21"/>
              </w:rPr>
              <w:t>提供了</w:t>
            </w:r>
            <w:r>
              <w:rPr>
                <w:rFonts w:hint="eastAsia"/>
                <w:szCs w:val="21"/>
                <w:lang w:val="en-US" w:eastAsia="zh-CN"/>
              </w:rPr>
              <w:t>2021年度</w:t>
            </w:r>
            <w:r>
              <w:rPr>
                <w:rFonts w:hint="eastAsia"/>
                <w:szCs w:val="21"/>
              </w:rPr>
              <w:t>“</w:t>
            </w:r>
            <w:r>
              <w:rPr>
                <w:rFonts w:hint="eastAsia" w:ascii="宋体" w:hAnsi="宋体"/>
                <w:b/>
                <w:szCs w:val="21"/>
              </w:rPr>
              <w:t>危险源风险识别、评价表</w:t>
            </w:r>
            <w:r>
              <w:rPr>
                <w:rFonts w:hint="eastAsia"/>
                <w:szCs w:val="21"/>
              </w:rPr>
              <w:t>”，对活动场所产生的危险源辨识并进行风险评价，以确定控制措施，经查阅已辨识外出漏电触电、火灾、人身伤亡、坠落打击、等意外伤害等危险因素。编制：办</w:t>
            </w:r>
            <w:r>
              <w:rPr>
                <w:szCs w:val="21"/>
              </w:rPr>
              <w:t>公室</w:t>
            </w:r>
            <w:r>
              <w:rPr>
                <w:rFonts w:hint="eastAsia"/>
                <w:szCs w:val="21"/>
              </w:rPr>
              <w:t xml:space="preserve"> </w:t>
            </w:r>
            <w:r>
              <w:rPr>
                <w:szCs w:val="21"/>
              </w:rPr>
              <w:t xml:space="preserve"> </w:t>
            </w:r>
            <w:r>
              <w:rPr>
                <w:rFonts w:hint="eastAsia"/>
                <w:szCs w:val="21"/>
              </w:rPr>
              <w:t>审核：</w:t>
            </w:r>
            <w:r>
              <w:rPr>
                <w:rFonts w:hint="eastAsia"/>
                <w:szCs w:val="21"/>
                <w:lang w:eastAsia="zh-CN"/>
              </w:rPr>
              <w:t>王亮</w:t>
            </w:r>
            <w:r>
              <w:rPr>
                <w:rFonts w:hint="eastAsia"/>
                <w:szCs w:val="21"/>
              </w:rPr>
              <w:t xml:space="preserve">   批准：</w:t>
            </w:r>
            <w:r>
              <w:rPr>
                <w:rFonts w:hint="eastAsia"/>
                <w:szCs w:val="21"/>
                <w:lang w:eastAsia="zh-CN"/>
              </w:rPr>
              <w:t>金洪庭</w:t>
            </w:r>
            <w:r>
              <w:rPr>
                <w:rFonts w:hint="eastAsia"/>
                <w:szCs w:val="21"/>
              </w:rPr>
              <w:t xml:space="preserve">  日期：202</w:t>
            </w:r>
            <w:r>
              <w:rPr>
                <w:rFonts w:hint="eastAsia"/>
                <w:szCs w:val="21"/>
                <w:lang w:val="en-US" w:eastAsia="zh-CN"/>
              </w:rPr>
              <w:t>1</w:t>
            </w:r>
            <w:r>
              <w:rPr>
                <w:rFonts w:hint="eastAsia"/>
                <w:szCs w:val="21"/>
              </w:rPr>
              <w:t>.</w:t>
            </w:r>
            <w:r>
              <w:rPr>
                <w:rFonts w:hint="eastAsia"/>
                <w:szCs w:val="21"/>
                <w:lang w:val="en-US" w:eastAsia="zh-CN"/>
              </w:rPr>
              <w:t>8</w:t>
            </w:r>
            <w:r>
              <w:rPr>
                <w:rFonts w:hint="eastAsia"/>
                <w:szCs w:val="21"/>
              </w:rPr>
              <w:t>.</w:t>
            </w:r>
            <w:r>
              <w:rPr>
                <w:rFonts w:hint="eastAsia"/>
                <w:szCs w:val="21"/>
                <w:lang w:val="en-US" w:eastAsia="zh-CN"/>
              </w:rPr>
              <w:t>8</w:t>
            </w:r>
          </w:p>
          <w:p>
            <w:pPr>
              <w:spacing w:line="280" w:lineRule="exact"/>
              <w:ind w:firstLine="420" w:firstLineChars="200"/>
              <w:rPr>
                <w:szCs w:val="21"/>
              </w:rPr>
            </w:pPr>
            <w:r>
              <w:rPr>
                <w:rFonts w:hint="eastAsia"/>
                <w:szCs w:val="21"/>
              </w:rPr>
              <w:t>确定不可接受风险</w:t>
            </w:r>
            <w:r>
              <w:rPr>
                <w:rFonts w:hint="eastAsia"/>
                <w:szCs w:val="21"/>
                <w:lang w:val="en-US" w:eastAsia="zh-CN"/>
              </w:rPr>
              <w:t>未变化</w:t>
            </w:r>
            <w:r>
              <w:rPr>
                <w:rFonts w:hint="eastAsia"/>
                <w:szCs w:val="21"/>
              </w:rPr>
              <w:t>。提供</w:t>
            </w:r>
            <w:r>
              <w:rPr>
                <w:rFonts w:hint="eastAsia"/>
                <w:szCs w:val="21"/>
                <w:lang w:val="en-US" w:eastAsia="zh-CN"/>
              </w:rPr>
              <w:t>的</w:t>
            </w:r>
            <w:r>
              <w:rPr>
                <w:rFonts w:hint="eastAsia"/>
                <w:szCs w:val="21"/>
              </w:rPr>
              <w:t>“不可接受风险清单”涉及本部门的不可接受风险有：</w:t>
            </w:r>
            <w:r>
              <w:rPr>
                <w:rFonts w:hint="eastAsia" w:ascii="宋体" w:hAnsi="宋体" w:cs="宋体"/>
                <w:szCs w:val="21"/>
              </w:rPr>
              <w:t>触电伤害、火灾事故</w:t>
            </w:r>
            <w:r>
              <w:rPr>
                <w:rFonts w:hint="eastAsia"/>
                <w:szCs w:val="21"/>
              </w:rPr>
              <w:t>；针对不可接受风险编制了职业健康安全目标、指标及管理方案，内容包括：目标、指标、方法及措施、完成日期、资金预算等。</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13"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w:t>
            </w:r>
            <w:r>
              <w:rPr>
                <w:rFonts w:hint="eastAsia" w:ascii="宋体" w:hAnsi="宋体" w:cs="宋体"/>
                <w:kern w:val="0"/>
                <w:szCs w:val="21"/>
                <w:lang w:val="en-US" w:eastAsia="zh-CN"/>
              </w:rPr>
              <w:t>2021年度</w:t>
            </w:r>
            <w:r>
              <w:rPr>
                <w:rFonts w:hint="eastAsia" w:ascii="宋体" w:hAnsi="宋体" w:cs="宋体"/>
                <w:kern w:val="0"/>
                <w:szCs w:val="21"/>
              </w:rPr>
              <w:t>环境目标指标时，</w:t>
            </w:r>
            <w:r>
              <w:rPr>
                <w:rFonts w:hint="eastAsia" w:ascii="宋体" w:hAnsi="宋体" w:cs="宋体"/>
                <w:szCs w:val="21"/>
              </w:rPr>
              <w:t>办公</w:t>
            </w:r>
            <w:r>
              <w:rPr>
                <w:rFonts w:ascii="宋体" w:hAnsi="宋体" w:cs="宋体"/>
                <w:szCs w:val="21"/>
              </w:rPr>
              <w:t>室</w:t>
            </w:r>
            <w:r>
              <w:rPr>
                <w:rFonts w:hint="eastAsia" w:ascii="宋体" w:hAnsi="宋体" w:cs="宋体"/>
                <w:szCs w:val="21"/>
              </w:rPr>
              <w:t>负责制定环境、职业健康安全目标及管理方案，总经理</w:t>
            </w:r>
            <w:r>
              <w:rPr>
                <w:rFonts w:hint="eastAsia" w:ascii="宋体" w:hAnsi="宋体" w:cs="宋体"/>
                <w:szCs w:val="21"/>
                <w:lang w:eastAsia="zh-CN"/>
              </w:rPr>
              <w:t>金洪庭</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办公室</w:t>
            </w:r>
            <w:r>
              <w:rPr>
                <w:rFonts w:hint="eastAsia" w:ascii="宋体" w:hAnsi="宋体" w:cs="宋体"/>
                <w:szCs w:val="21"/>
              </w:rPr>
              <w:t>每半年对方案实施情况进行检查跟踪，向总经理报告；一般在管理评审之前对环境、职业健康安全目标及管理方案由办公</w:t>
            </w:r>
            <w:r>
              <w:rPr>
                <w:rFonts w:ascii="宋体" w:hAnsi="宋体" w:cs="宋体"/>
                <w:szCs w:val="21"/>
              </w:rPr>
              <w:t>室</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rPr>
              <w:t>根据重要环境因素和不可接受因素，确定相关负责部门和岗位，制定管理方案。</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13"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lang w:val="en-US" w:eastAsia="zh-CN"/>
              </w:rPr>
              <w:t>F</w:t>
            </w:r>
            <w:r>
              <w:rPr>
                <w:rFonts w:hint="eastAsia"/>
                <w:szCs w:val="21"/>
              </w:rPr>
              <w:t>：6.2.1</w:t>
            </w:r>
          </w:p>
        </w:tc>
        <w:tc>
          <w:tcPr>
            <w:tcW w:w="10000"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办室</w:t>
            </w:r>
            <w:r>
              <w:rPr>
                <w:rFonts w:ascii="宋体" w:hAnsi="宋体" w:cs="宋体"/>
                <w:szCs w:val="21"/>
              </w:rPr>
              <w:t>室</w:t>
            </w:r>
            <w:r>
              <w:rPr>
                <w:rFonts w:hint="eastAsia" w:ascii="宋体" w:hAnsi="宋体" w:cs="宋体"/>
                <w:szCs w:val="21"/>
              </w:rPr>
              <w:t>涉及的目标及实现情况是：</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3544"/>
              <w:gridCol w:w="127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szCs w:val="21"/>
                    </w:rPr>
                    <w:t>分解目标</w:t>
                  </w:r>
                </w:p>
              </w:tc>
              <w:tc>
                <w:tcPr>
                  <w:tcW w:w="3544" w:type="dxa"/>
                </w:tcPr>
                <w:p>
                  <w:pPr>
                    <w:rPr>
                      <w:rFonts w:ascii="宋体" w:hAnsi="宋体"/>
                      <w:szCs w:val="21"/>
                    </w:rPr>
                  </w:pPr>
                  <w:r>
                    <w:rPr>
                      <w:rFonts w:hint="eastAsia" w:ascii="宋体" w:hAnsi="宋体"/>
                      <w:szCs w:val="21"/>
                    </w:rPr>
                    <w:t>计算公式</w:t>
                  </w:r>
                </w:p>
              </w:tc>
              <w:tc>
                <w:tcPr>
                  <w:tcW w:w="1276" w:type="dxa"/>
                </w:tcPr>
                <w:p>
                  <w:pPr>
                    <w:rPr>
                      <w:rFonts w:ascii="宋体" w:hAnsi="宋体"/>
                      <w:szCs w:val="21"/>
                    </w:rPr>
                  </w:pPr>
                  <w:r>
                    <w:rPr>
                      <w:rFonts w:hint="eastAsia" w:ascii="宋体" w:hAnsi="宋体"/>
                      <w:szCs w:val="21"/>
                    </w:rPr>
                    <w:t>实现情况</w:t>
                  </w:r>
                </w:p>
              </w:tc>
              <w:tc>
                <w:tcPr>
                  <w:tcW w:w="1529" w:type="dxa"/>
                </w:tcPr>
                <w:p>
                  <w:pPr>
                    <w:rPr>
                      <w:rFonts w:ascii="宋体" w:hAnsi="宋体"/>
                      <w:szCs w:val="21"/>
                    </w:rPr>
                  </w:pPr>
                  <w:r>
                    <w:rPr>
                      <w:rFonts w:hint="eastAsia" w:ascii="宋体" w:hAnsi="宋体"/>
                      <w:szCs w:val="21"/>
                    </w:rPr>
                    <w:t>结论（审核周期）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cs="黑体"/>
                      <w:bCs/>
                      <w:color w:val="000000"/>
                      <w:szCs w:val="21"/>
                    </w:rPr>
                    <w:t>文件发放及时率</w:t>
                  </w:r>
                  <w:r>
                    <w:rPr>
                      <w:rFonts w:hint="eastAsia" w:ascii="宋体" w:hAnsi="宋体" w:cs="黑体"/>
                      <w:b/>
                      <w:color w:val="000000"/>
                      <w:szCs w:val="21"/>
                    </w:rPr>
                    <w:t>≥99%</w:t>
                  </w:r>
                </w:p>
              </w:tc>
              <w:tc>
                <w:tcPr>
                  <w:tcW w:w="3544" w:type="dxa"/>
                </w:tcPr>
                <w:p>
                  <w:pPr>
                    <w:rPr>
                      <w:rFonts w:ascii="宋体" w:hAnsi="宋体"/>
                      <w:szCs w:val="21"/>
                    </w:rPr>
                  </w:pPr>
                  <w:r>
                    <w:rPr>
                      <w:rFonts w:hint="eastAsia" w:ascii="宋体" w:hAnsi="宋体" w:cs="黑体"/>
                      <w:bCs/>
                      <w:color w:val="000000"/>
                      <w:szCs w:val="21"/>
                    </w:rPr>
                    <w:t>及时率＝发放及时数÷文件总发放数×100%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tcPr>
                <w:p>
                  <w:pPr>
                    <w:rPr>
                      <w:rFonts w:ascii="宋体" w:hAnsi="宋体"/>
                      <w:szCs w:val="21"/>
                    </w:rPr>
                  </w:pPr>
                  <w:r>
                    <w:rPr>
                      <w:rFonts w:hint="eastAsia" w:ascii="宋体" w:hAnsi="宋体" w:cs="黑体"/>
                      <w:bCs/>
                      <w:color w:val="000000"/>
                      <w:szCs w:val="21"/>
                    </w:rPr>
                    <w:t>设备完好率</w:t>
                  </w:r>
                  <w:r>
                    <w:rPr>
                      <w:rFonts w:hint="eastAsia" w:ascii="宋体" w:hAnsi="宋体" w:cs="黑体"/>
                      <w:b/>
                      <w:color w:val="000000"/>
                      <w:szCs w:val="21"/>
                    </w:rPr>
                    <w:t>≥98%</w:t>
                  </w:r>
                </w:p>
              </w:tc>
              <w:tc>
                <w:tcPr>
                  <w:tcW w:w="3544" w:type="dxa"/>
                </w:tcPr>
                <w:p>
                  <w:pPr>
                    <w:rPr>
                      <w:rFonts w:ascii="宋体" w:hAnsi="宋体"/>
                      <w:szCs w:val="21"/>
                    </w:rPr>
                  </w:pPr>
                  <w:r>
                    <w:rPr>
                      <w:rFonts w:hint="eastAsia" w:ascii="宋体" w:hAnsi="宋体" w:cs="黑体"/>
                      <w:bCs/>
                      <w:color w:val="000000"/>
                      <w:szCs w:val="21"/>
                    </w:rPr>
                    <w:t>完好率＝设备总数÷完好设备×100%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bCs/>
                      <w:color w:val="000000"/>
                      <w:szCs w:val="21"/>
                    </w:rPr>
                    <w:t>员工培训计划实施率</w:t>
                  </w:r>
                  <w:r>
                    <w:rPr>
                      <w:rFonts w:hint="eastAsia" w:ascii="宋体" w:hAnsi="宋体" w:cs="黑体"/>
                      <w:b/>
                      <w:color w:val="000000"/>
                      <w:szCs w:val="21"/>
                    </w:rPr>
                    <w:t>≥99%</w:t>
                  </w:r>
                </w:p>
              </w:tc>
              <w:tc>
                <w:tcPr>
                  <w:tcW w:w="3544" w:type="dxa"/>
                </w:tcPr>
                <w:p>
                  <w:pPr>
                    <w:rPr>
                      <w:rFonts w:ascii="宋体" w:hAnsi="宋体"/>
                      <w:szCs w:val="21"/>
                    </w:rPr>
                  </w:pPr>
                  <w:r>
                    <w:rPr>
                      <w:rFonts w:hint="eastAsia" w:ascii="宋体" w:hAnsi="宋体" w:cs="黑体"/>
                      <w:bCs/>
                      <w:color w:val="000000"/>
                      <w:szCs w:val="21"/>
                    </w:rPr>
                    <w:t>培训率＝培训人次÷培训总人数×100%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办公场所分类处理各类废弃物，有专门收集箱并标识，回收处理率≥99%.</w:t>
                  </w:r>
                </w:p>
              </w:tc>
              <w:tc>
                <w:tcPr>
                  <w:tcW w:w="3544" w:type="dxa"/>
                </w:tcPr>
                <w:p>
                  <w:pPr>
                    <w:rPr>
                      <w:rFonts w:ascii="宋体" w:hAnsi="宋体"/>
                      <w:szCs w:val="21"/>
                    </w:rPr>
                  </w:pPr>
                  <w:r>
                    <w:rPr>
                      <w:rFonts w:hint="eastAsia" w:ascii="宋体" w:hAnsi="宋体" w:cs="黑体"/>
                      <w:bCs/>
                      <w:color w:val="000000"/>
                      <w:szCs w:val="21"/>
                    </w:rPr>
                    <w:t>处理率＝应回收处理总数÷处理率×100%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废弃物请回收部门清运及时率100%</w:t>
                  </w:r>
                </w:p>
              </w:tc>
              <w:tc>
                <w:tcPr>
                  <w:tcW w:w="3544" w:type="dxa"/>
                </w:tcPr>
                <w:p>
                  <w:pPr>
                    <w:rPr>
                      <w:rFonts w:ascii="宋体" w:hAnsi="宋体"/>
                      <w:szCs w:val="21"/>
                    </w:rPr>
                  </w:pPr>
                  <w:r>
                    <w:rPr>
                      <w:rFonts w:hint="eastAsia" w:ascii="宋体" w:hAnsi="宋体" w:cs="黑体"/>
                      <w:bCs/>
                      <w:color w:val="000000"/>
                      <w:szCs w:val="21"/>
                    </w:rPr>
                    <w:t>及时率＝应清运总数÷清运次数×100%</w:t>
                  </w:r>
                </w:p>
              </w:tc>
              <w:tc>
                <w:tcPr>
                  <w:tcW w:w="1276" w:type="dxa"/>
                </w:tcPr>
                <w:p>
                  <w:pPr>
                    <w:rPr>
                      <w:rFonts w:ascii="宋体" w:hAnsi="宋体"/>
                      <w:szCs w:val="21"/>
                    </w:rPr>
                  </w:pPr>
                  <w:r>
                    <w:rPr>
                      <w:rFonts w:ascii="宋体" w:hAnsi="宋体"/>
                      <w:szCs w:val="21"/>
                    </w:rPr>
                    <w:t>100%</w:t>
                  </w:r>
                </w:p>
              </w:tc>
              <w:tc>
                <w:tcPr>
                  <w:tcW w:w="1529" w:type="dxa"/>
                </w:tcPr>
                <w:p>
                  <w:pPr>
                    <w:rPr>
                      <w:rFonts w:ascii="宋体" w:hAnsi="宋体"/>
                      <w:szCs w:val="21"/>
                    </w:rPr>
                  </w:pPr>
                  <w:r>
                    <w:rPr>
                      <w:rFonts w:hint="eastAsia" w:ascii="宋体" w:hAnsi="宋体"/>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577" w:type="dxa"/>
                </w:tcPr>
                <w:p>
                  <w:pPr>
                    <w:rPr>
                      <w:rFonts w:ascii="宋体" w:hAnsi="宋体"/>
                      <w:szCs w:val="21"/>
                    </w:rPr>
                  </w:pPr>
                  <w:r>
                    <w:rPr>
                      <w:rFonts w:hint="eastAsia" w:ascii="宋体" w:hAnsi="宋体" w:cs="黑体"/>
                      <w:szCs w:val="21"/>
                    </w:rPr>
                    <w:t>职业病发生率0</w:t>
                  </w:r>
                </w:p>
              </w:tc>
              <w:tc>
                <w:tcPr>
                  <w:tcW w:w="3544" w:type="dxa"/>
                </w:tcPr>
                <w:p>
                  <w:pPr>
                    <w:rPr>
                      <w:rFonts w:ascii="宋体" w:hAnsi="宋体"/>
                      <w:szCs w:val="21"/>
                    </w:rPr>
                  </w:pPr>
                  <w:r>
                    <w:rPr>
                      <w:rFonts w:hint="eastAsia" w:ascii="宋体" w:hAnsi="宋体" w:cs="黑体"/>
                      <w:bCs/>
                      <w:color w:val="000000"/>
                      <w:szCs w:val="21"/>
                    </w:rPr>
                    <w:t>发生率＝发生总数÷发生次数×100%</w:t>
                  </w:r>
                </w:p>
              </w:tc>
              <w:tc>
                <w:tcPr>
                  <w:tcW w:w="1276" w:type="dxa"/>
                </w:tcPr>
                <w:p>
                  <w:pPr>
                    <w:rPr>
                      <w:rFonts w:ascii="宋体" w:hAnsi="宋体"/>
                      <w:szCs w:val="21"/>
                    </w:rPr>
                  </w:pPr>
                  <w:r>
                    <w:rPr>
                      <w:rFonts w:hint="eastAsia" w:ascii="宋体" w:hAnsi="宋体"/>
                      <w:szCs w:val="21"/>
                    </w:rPr>
                    <w:t>0</w:t>
                  </w:r>
                </w:p>
              </w:tc>
              <w:tc>
                <w:tcPr>
                  <w:tcW w:w="1529" w:type="dxa"/>
                </w:tcPr>
                <w:p>
                  <w:pPr>
                    <w:rPr>
                      <w:rFonts w:ascii="宋体" w:hAnsi="宋体"/>
                      <w:szCs w:val="21"/>
                    </w:rPr>
                  </w:pPr>
                  <w:r>
                    <w:rPr>
                      <w:rFonts w:hint="eastAsia" w:ascii="宋体" w:hAnsi="宋体"/>
                      <w:szCs w:val="21"/>
                    </w:rPr>
                    <w:t>已完成</w:t>
                  </w:r>
                </w:p>
              </w:tc>
            </w:tr>
          </w:tbl>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目标均已完成。</w:t>
            </w:r>
          </w:p>
        </w:tc>
        <w:tc>
          <w:tcPr>
            <w:tcW w:w="1589" w:type="dxa"/>
          </w:tcPr>
          <w:p>
            <w:pPr>
              <w:rPr>
                <w:highlight w:val="cyan"/>
              </w:rPr>
            </w:pPr>
            <w:r>
              <w:rPr>
                <w:rFonts w:hint="eastAsia"/>
                <w:highlight w:val="cya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13"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E</w:t>
            </w:r>
            <w:r>
              <w:rPr>
                <w:szCs w:val="21"/>
              </w:rPr>
              <w:t>O</w:t>
            </w:r>
            <w:r>
              <w:rPr>
                <w:rFonts w:hint="eastAsia"/>
                <w:szCs w:val="21"/>
              </w:rPr>
              <w:t>：6.2.2</w:t>
            </w:r>
          </w:p>
        </w:tc>
        <w:tc>
          <w:tcPr>
            <w:tcW w:w="10000"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《环境因素识别评价控制程序》和《危险源辨识与风险评价控制程序》</w:t>
            </w:r>
            <w:r>
              <w:rPr>
                <w:rFonts w:hint="eastAsia"/>
                <w:szCs w:val="21"/>
              </w:rPr>
              <w:t>识别的重要环境因素和重大危险制定管理措施，</w:t>
            </w:r>
            <w:r>
              <w:rPr>
                <w:rFonts w:hint="eastAsia"/>
                <w:szCs w:val="21"/>
                <w:lang w:val="en-US" w:eastAsia="zh-CN"/>
              </w:rPr>
              <w:t>未变化，</w:t>
            </w:r>
            <w:r>
              <w:rPr>
                <w:rFonts w:hint="eastAsia" w:ascii="宋体" w:hAnsi="宋体" w:cs="宋体"/>
                <w:szCs w:val="21"/>
              </w:rPr>
              <w:t>由</w:t>
            </w:r>
            <w:r>
              <w:rPr>
                <w:rFonts w:hint="eastAsia" w:ascii="宋体" w:hAnsi="宋体" w:cs="宋体"/>
                <w:szCs w:val="21"/>
                <w:lang w:eastAsia="zh-CN"/>
              </w:rPr>
              <w:t>办公室</w:t>
            </w:r>
            <w:r>
              <w:rPr>
                <w:rFonts w:hint="eastAsia" w:ascii="宋体" w:hAnsi="宋体" w:cs="宋体"/>
                <w:szCs w:val="21"/>
              </w:rPr>
              <w:t>统一管理。基本不涉及重大法规要求的不可接受的环境和安全风险。</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w:t>
            </w:r>
            <w:r>
              <w:rPr>
                <w:rFonts w:hint="eastAsia" w:ascii="宋体" w:hAnsi="宋体" w:cs="宋体"/>
                <w:color w:val="000000"/>
                <w:kern w:val="0"/>
                <w:szCs w:val="21"/>
                <w:lang w:val="en-US" w:eastAsia="zh-CN"/>
              </w:rPr>
              <w:t>F</w:t>
            </w:r>
            <w:r>
              <w:rPr>
                <w:rFonts w:hint="eastAsia" w:ascii="宋体" w:hAnsi="宋体" w:cs="宋体"/>
                <w:color w:val="000000"/>
                <w:kern w:val="0"/>
                <w:szCs w:val="21"/>
              </w:rPr>
              <w:t>7.1.2</w:t>
            </w:r>
          </w:p>
          <w:p>
            <w:pPr>
              <w:spacing w:line="280" w:lineRule="exact"/>
              <w:rPr>
                <w:b/>
                <w:szCs w:val="21"/>
              </w:rPr>
            </w:pPr>
          </w:p>
        </w:tc>
        <w:tc>
          <w:tcPr>
            <w:tcW w:w="10000" w:type="dxa"/>
            <w:vAlign w:val="center"/>
          </w:tcPr>
          <w:p>
            <w:pPr>
              <w:ind w:firstLine="420" w:firstLineChars="200"/>
              <w:rPr>
                <w:szCs w:val="21"/>
              </w:rPr>
            </w:pPr>
            <w:r>
              <w:rPr>
                <w:rFonts w:hint="eastAsia"/>
                <w:szCs w:val="21"/>
              </w:rPr>
              <w:t xml:space="preserve">   办公</w:t>
            </w:r>
            <w:r>
              <w:rPr>
                <w:szCs w:val="21"/>
              </w:rPr>
              <w:t>室</w:t>
            </w:r>
            <w:r>
              <w:rPr>
                <w:rFonts w:hint="eastAsia"/>
                <w:szCs w:val="21"/>
              </w:rPr>
              <w:t>根据各部门的需要配备管理体系运行所需的人员，任命内审员2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rPr>
                <w:szCs w:val="21"/>
              </w:rPr>
            </w:pPr>
            <w:r>
              <w:rPr>
                <w:rFonts w:hint="eastAsia"/>
                <w:szCs w:val="21"/>
              </w:rPr>
              <w:t>提供有员工花名册，目前公司共有员工</w:t>
            </w:r>
            <w:r>
              <w:rPr>
                <w:rFonts w:hint="eastAsia"/>
                <w:szCs w:val="21"/>
                <w:u w:val="single"/>
              </w:rPr>
              <w:t xml:space="preserve"> </w:t>
            </w:r>
            <w:r>
              <w:rPr>
                <w:szCs w:val="21"/>
                <w:u w:val="single"/>
              </w:rPr>
              <w:t>15</w:t>
            </w:r>
            <w:r>
              <w:rPr>
                <w:rFonts w:hint="eastAsia"/>
                <w:szCs w:val="21"/>
                <w:u w:val="single"/>
              </w:rPr>
              <w:t>人</w:t>
            </w:r>
            <w:r>
              <w:rPr>
                <w:rFonts w:hint="eastAsia"/>
                <w:szCs w:val="21"/>
              </w:rPr>
              <w:t>，各部门人员配备基本充分，基本符合要求。</w:t>
            </w:r>
          </w:p>
          <w:p>
            <w:pPr>
              <w:ind w:firstLine="420" w:firstLineChars="200"/>
              <w:jc w:val="left"/>
              <w:rPr>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w:t>
            </w:r>
            <w:r>
              <w:rPr>
                <w:rFonts w:hint="eastAsia" w:ascii="宋体" w:hAnsi="宋体" w:cs="宋体"/>
                <w:color w:val="000000"/>
                <w:kern w:val="0"/>
                <w:szCs w:val="21"/>
                <w:lang w:val="en-US" w:eastAsia="zh-CN"/>
              </w:rPr>
              <w:t>F</w:t>
            </w:r>
            <w:r>
              <w:rPr>
                <w:rFonts w:hint="eastAsia" w:ascii="宋体" w:hAnsi="宋体" w:cs="宋体"/>
                <w:color w:val="000000"/>
                <w:kern w:val="0"/>
                <w:szCs w:val="21"/>
              </w:rPr>
              <w:t>7.1.6</w:t>
            </w:r>
          </w:p>
          <w:p>
            <w:pPr>
              <w:spacing w:line="280" w:lineRule="exact"/>
              <w:rPr>
                <w:b/>
                <w:szCs w:val="21"/>
              </w:rPr>
            </w:pPr>
          </w:p>
        </w:tc>
        <w:tc>
          <w:tcPr>
            <w:tcW w:w="10000"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技术规范、合同）、法律法规、市场信息等。</w:t>
            </w:r>
          </w:p>
          <w:p>
            <w:pPr>
              <w:spacing w:line="280" w:lineRule="exact"/>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lang w:val="en-US" w:eastAsia="zh-CN"/>
              </w:rPr>
              <w:t>F</w:t>
            </w:r>
            <w:r>
              <w:rPr>
                <w:rFonts w:hint="eastAsia" w:ascii="宋体" w:hAnsi="宋体" w:cs="宋体"/>
                <w:color w:val="000000"/>
                <w:kern w:val="0"/>
                <w:szCs w:val="21"/>
              </w:rPr>
              <w:t>7.2</w:t>
            </w:r>
          </w:p>
        </w:tc>
        <w:tc>
          <w:tcPr>
            <w:tcW w:w="10000"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pPr>
              <w:spacing w:line="280" w:lineRule="exact"/>
              <w:rPr>
                <w:rFonts w:ascii="宋体" w:hAnsi="宋体" w:cs="宋体"/>
                <w:color w:val="000000"/>
                <w:kern w:val="0"/>
                <w:szCs w:val="21"/>
              </w:rPr>
            </w:pPr>
          </w:p>
          <w:p>
            <w:pPr>
              <w:rPr>
                <w:rFonts w:ascii="Calibri" w:hAnsi="Calibri"/>
              </w:rPr>
            </w:pPr>
            <w:r>
              <w:rPr>
                <w:rFonts w:hint="eastAsia" w:ascii="Calibri" w:hAnsi="Calibri"/>
              </w:rPr>
              <w:t>培训过程的控制：</w:t>
            </w:r>
          </w:p>
          <w:tbl>
            <w:tblPr>
              <w:tblStyle w:val="9"/>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056"/>
              <w:gridCol w:w="1729"/>
              <w:gridCol w:w="163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ascii="宋体" w:hAnsi="宋体"/>
                    </w:rPr>
                  </w:pPr>
                  <w:r>
                    <w:rPr>
                      <w:rFonts w:hint="eastAsia" w:ascii="宋体" w:hAnsi="宋体"/>
                    </w:rPr>
                    <w:t>培训日期</w:t>
                  </w:r>
                </w:p>
              </w:tc>
              <w:tc>
                <w:tcPr>
                  <w:tcW w:w="3056" w:type="dxa"/>
                </w:tcPr>
                <w:p>
                  <w:pPr>
                    <w:rPr>
                      <w:rFonts w:ascii="宋体" w:hAnsi="宋体"/>
                    </w:rPr>
                  </w:pPr>
                  <w:r>
                    <w:rPr>
                      <w:rFonts w:hint="eastAsia" w:ascii="宋体" w:hAnsi="宋体"/>
                    </w:rPr>
                    <w:t>培训记录内容</w:t>
                  </w:r>
                </w:p>
              </w:tc>
              <w:tc>
                <w:tcPr>
                  <w:tcW w:w="1729" w:type="dxa"/>
                </w:tcPr>
                <w:p>
                  <w:pPr>
                    <w:rPr>
                      <w:rFonts w:ascii="宋体" w:hAnsi="宋体"/>
                    </w:rPr>
                  </w:pPr>
                  <w:r>
                    <w:rPr>
                      <w:rFonts w:hint="eastAsia" w:ascii="宋体" w:hAnsi="宋体"/>
                    </w:rPr>
                    <w:t>参加部门/人数</w:t>
                  </w:r>
                </w:p>
              </w:tc>
              <w:tc>
                <w:tcPr>
                  <w:tcW w:w="1638" w:type="dxa"/>
                </w:tcPr>
                <w:p>
                  <w:pPr>
                    <w:rPr>
                      <w:rFonts w:ascii="宋体" w:hAnsi="宋体"/>
                    </w:rPr>
                  </w:pPr>
                  <w:r>
                    <w:rPr>
                      <w:rFonts w:hint="eastAsia" w:ascii="宋体" w:hAnsi="宋体"/>
                    </w:rPr>
                    <w:t>评价方式</w:t>
                  </w:r>
                </w:p>
              </w:tc>
              <w:tc>
                <w:tcPr>
                  <w:tcW w:w="1863" w:type="dxa"/>
                </w:tcPr>
                <w:p>
                  <w:pPr>
                    <w:rPr>
                      <w:rFonts w:ascii="宋体" w:hAnsi="宋体"/>
                    </w:rPr>
                  </w:pPr>
                  <w:r>
                    <w:rPr>
                      <w:rFonts w:hint="eastAsia" w:ascii="宋体" w:hAnsi="宋体"/>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60" w:type="dxa"/>
                </w:tcPr>
                <w:p>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1</w:t>
                  </w:r>
                  <w:r>
                    <w:rPr>
                      <w:rFonts w:hint="eastAsia" w:ascii="宋体" w:hAnsi="宋体"/>
                      <w:sz w:val="18"/>
                      <w:szCs w:val="18"/>
                    </w:rPr>
                    <w:t>.</w:t>
                  </w:r>
                  <w:r>
                    <w:rPr>
                      <w:rFonts w:ascii="宋体" w:hAnsi="宋体"/>
                      <w:sz w:val="18"/>
                      <w:szCs w:val="18"/>
                    </w:rPr>
                    <w:t>0</w:t>
                  </w:r>
                  <w:r>
                    <w:rPr>
                      <w:rFonts w:hint="eastAsia" w:ascii="宋体" w:hAnsi="宋体"/>
                      <w:sz w:val="18"/>
                      <w:szCs w:val="18"/>
                      <w:lang w:val="en-US" w:eastAsia="zh-CN"/>
                    </w:rPr>
                    <w:t>1.18</w:t>
                  </w:r>
                </w:p>
              </w:tc>
              <w:tc>
                <w:tcPr>
                  <w:tcW w:w="3056" w:type="dxa"/>
                </w:tcPr>
                <w:p>
                  <w:pPr>
                    <w:rPr>
                      <w:rFonts w:ascii="宋体" w:hAnsi="宋体"/>
                    </w:rPr>
                  </w:pPr>
                  <w:r>
                    <w:rPr>
                      <w:rFonts w:hint="eastAsia" w:ascii="宋体" w:hAnsi="宋体" w:cs="黑体"/>
                      <w:lang w:eastAsia="zh-CN"/>
                    </w:rPr>
                    <w:t>《</w:t>
                  </w:r>
                  <w:r>
                    <w:rPr>
                      <w:rFonts w:hint="eastAsia" w:ascii="宋体" w:hAnsi="宋体" w:cs="黑体"/>
                      <w:lang w:val="en-US" w:eastAsia="zh-CN"/>
                    </w:rPr>
                    <w:t>食品安全法</w:t>
                  </w:r>
                  <w:r>
                    <w:rPr>
                      <w:rFonts w:hint="eastAsia" w:ascii="宋体" w:hAnsi="宋体" w:cs="黑体"/>
                      <w:lang w:eastAsia="zh-CN"/>
                    </w:rPr>
                    <w:t>》</w:t>
                  </w:r>
                  <w:r>
                    <w:rPr>
                      <w:rFonts w:hint="eastAsia" w:ascii="宋体" w:hAnsi="宋体" w:cs="黑体"/>
                      <w:lang w:val="en-US" w:eastAsia="zh-CN"/>
                    </w:rPr>
                    <w:t>及相关质量安全相关法律</w:t>
                  </w:r>
                  <w:r>
                    <w:rPr>
                      <w:rFonts w:hint="eastAsia" w:ascii="宋体" w:hAnsi="宋体" w:cs="黑体"/>
                    </w:rPr>
                    <w:t>知识培训</w:t>
                  </w:r>
                </w:p>
              </w:tc>
              <w:tc>
                <w:tcPr>
                  <w:tcW w:w="1729" w:type="dxa"/>
                </w:tcPr>
                <w:p>
                  <w:pPr>
                    <w:rPr>
                      <w:rFonts w:hint="default" w:ascii="宋体" w:hAnsi="宋体" w:eastAsia="宋体"/>
                      <w:lang w:val="en-US" w:eastAsia="zh-CN"/>
                    </w:rPr>
                  </w:pPr>
                  <w:r>
                    <w:rPr>
                      <w:rFonts w:hint="eastAsia" w:ascii="宋体" w:hAnsi="宋体" w:cs="黑体"/>
                    </w:rPr>
                    <w:t>中</w:t>
                  </w:r>
                  <w:r>
                    <w:rPr>
                      <w:rFonts w:hint="eastAsia" w:ascii="宋体" w:hAnsi="宋体" w:cs="黑体"/>
                      <w:lang w:val="en-US" w:eastAsia="zh-CN"/>
                    </w:rPr>
                    <w:t>高</w:t>
                  </w:r>
                  <w:r>
                    <w:rPr>
                      <w:rFonts w:hint="eastAsia" w:ascii="宋体" w:hAnsi="宋体" w:cs="黑体"/>
                    </w:rPr>
                    <w:t>层</w:t>
                  </w:r>
                  <w:r>
                    <w:rPr>
                      <w:rFonts w:hint="eastAsia" w:ascii="宋体" w:hAnsi="宋体" w:cs="黑体"/>
                      <w:lang w:val="en-US" w:eastAsia="zh-CN"/>
                    </w:rPr>
                    <w:t>管理人员</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60" w:type="dxa"/>
                </w:tcPr>
                <w:p>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1</w:t>
                  </w:r>
                  <w:r>
                    <w:rPr>
                      <w:rFonts w:hint="eastAsia" w:ascii="宋体" w:hAnsi="宋体"/>
                      <w:sz w:val="18"/>
                      <w:szCs w:val="18"/>
                    </w:rPr>
                    <w:t>.</w:t>
                  </w:r>
                  <w:r>
                    <w:rPr>
                      <w:rFonts w:ascii="宋体" w:hAnsi="宋体"/>
                      <w:sz w:val="18"/>
                      <w:szCs w:val="18"/>
                    </w:rPr>
                    <w:t>0</w:t>
                  </w:r>
                  <w:r>
                    <w:rPr>
                      <w:rFonts w:hint="eastAsia" w:ascii="宋体" w:hAnsi="宋体"/>
                      <w:sz w:val="18"/>
                      <w:szCs w:val="18"/>
                      <w:lang w:val="en-US" w:eastAsia="zh-CN"/>
                    </w:rPr>
                    <w:t>3.25</w:t>
                  </w:r>
                </w:p>
              </w:tc>
              <w:tc>
                <w:tcPr>
                  <w:tcW w:w="3056" w:type="dxa"/>
                  <w:vAlign w:val="center"/>
                </w:tcPr>
                <w:p>
                  <w:pPr>
                    <w:tabs>
                      <w:tab w:val="left" w:pos="0"/>
                      <w:tab w:val="left" w:pos="315"/>
                      <w:tab w:val="left" w:pos="525"/>
                      <w:tab w:val="left" w:pos="630"/>
                      <w:tab w:val="left" w:pos="9450"/>
                    </w:tabs>
                    <w:rPr>
                      <w:rFonts w:hint="default" w:ascii="宋体" w:hAnsi="宋体" w:eastAsia="宋体" w:cs="黑体"/>
                      <w:lang w:val="en-US" w:eastAsia="zh-CN"/>
                    </w:rPr>
                  </w:pPr>
                  <w:r>
                    <w:rPr>
                      <w:rFonts w:hint="eastAsia" w:ascii="宋体" w:hAnsi="宋体" w:cs="黑体"/>
                      <w:lang w:val="en-US" w:eastAsia="zh-CN"/>
                    </w:rPr>
                    <w:t>GB14881-2013《食品生产通用卫生规范》、CCAA0029-2016《食品安全管理体系 食品批发和零售企业要求》培训</w:t>
                  </w:r>
                </w:p>
              </w:tc>
              <w:tc>
                <w:tcPr>
                  <w:tcW w:w="1729" w:type="dxa"/>
                </w:tcPr>
                <w:p>
                  <w:pPr>
                    <w:rPr>
                      <w:rFonts w:hint="default" w:ascii="宋体" w:hAnsi="宋体" w:eastAsia="宋体"/>
                      <w:lang w:val="en-US" w:eastAsia="zh-CN"/>
                    </w:rPr>
                  </w:pPr>
                  <w:r>
                    <w:rPr>
                      <w:rFonts w:hint="eastAsia" w:ascii="宋体" w:hAnsi="宋体" w:cs="黑体"/>
                      <w:lang w:val="en-US" w:eastAsia="zh-CN"/>
                    </w:rPr>
                    <w:t>公司全体人员</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hint="default" w:ascii="宋体" w:hAnsi="宋体" w:eastAsia="宋体"/>
                      <w:sz w:val="18"/>
                      <w:szCs w:val="18"/>
                      <w:lang w:val="en-US" w:eastAsia="zh-CN"/>
                    </w:rPr>
                  </w:pPr>
                  <w:r>
                    <w:rPr>
                      <w:rFonts w:hint="eastAsia" w:ascii="宋体" w:hAnsi="宋体"/>
                      <w:sz w:val="18"/>
                      <w:szCs w:val="18"/>
                    </w:rPr>
                    <w:t>2</w:t>
                  </w:r>
                  <w:r>
                    <w:rPr>
                      <w:rFonts w:ascii="宋体" w:hAnsi="宋体"/>
                      <w:sz w:val="18"/>
                      <w:szCs w:val="18"/>
                    </w:rPr>
                    <w:t>02</w:t>
                  </w:r>
                  <w:r>
                    <w:rPr>
                      <w:rFonts w:hint="eastAsia" w:ascii="宋体" w:hAnsi="宋体"/>
                      <w:sz w:val="18"/>
                      <w:szCs w:val="18"/>
                      <w:lang w:val="en-US" w:eastAsia="zh-CN"/>
                    </w:rPr>
                    <w:t>1.05.05</w:t>
                  </w:r>
                </w:p>
              </w:tc>
              <w:tc>
                <w:tcPr>
                  <w:tcW w:w="3056" w:type="dxa"/>
                </w:tcPr>
                <w:p>
                  <w:pPr>
                    <w:rPr>
                      <w:rFonts w:hint="default" w:ascii="宋体" w:hAnsi="宋体" w:eastAsia="宋体"/>
                      <w:lang w:val="en-US" w:eastAsia="zh-CN"/>
                    </w:rPr>
                  </w:pPr>
                  <w:r>
                    <w:rPr>
                      <w:rFonts w:hint="eastAsia" w:ascii="宋体" w:hAnsi="宋体" w:cs="黑体"/>
                      <w:lang w:val="en-US" w:eastAsia="zh-CN"/>
                    </w:rPr>
                    <w:t>内审员继续培训</w:t>
                  </w:r>
                </w:p>
              </w:tc>
              <w:tc>
                <w:tcPr>
                  <w:tcW w:w="1729" w:type="dxa"/>
                </w:tcPr>
                <w:p>
                  <w:pPr>
                    <w:rPr>
                      <w:rFonts w:hint="default" w:ascii="宋体" w:hAnsi="宋体" w:eastAsia="宋体"/>
                      <w:lang w:val="en-US" w:eastAsia="zh-CN"/>
                    </w:rPr>
                  </w:pPr>
                  <w:r>
                    <w:rPr>
                      <w:rFonts w:hint="eastAsia" w:ascii="宋体" w:hAnsi="宋体" w:cs="黑体"/>
                      <w:lang w:val="en-US" w:eastAsia="zh-CN"/>
                    </w:rPr>
                    <w:t>内审员</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cs="MS Mincho"/>
                    </w:rPr>
                  </w:pPr>
                  <w:r>
                    <w:rPr>
                      <w:rFonts w:ascii="Segoe UI Symbol" w:hAnsi="Segoe UI Symbol" w:cs="Segoe UI Symbol"/>
                    </w:rPr>
                    <w:t>☑</w:t>
                  </w:r>
                  <w:r>
                    <w:rPr>
                      <w:rFonts w:hint="eastAsia" w:ascii="宋体" w:hAnsi="宋体"/>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60" w:type="dxa"/>
                </w:tcPr>
                <w:p>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1</w:t>
                  </w:r>
                  <w:r>
                    <w:rPr>
                      <w:rFonts w:hint="eastAsia" w:ascii="宋体" w:hAnsi="宋体"/>
                      <w:sz w:val="18"/>
                      <w:szCs w:val="18"/>
                    </w:rPr>
                    <w:t>.</w:t>
                  </w:r>
                  <w:r>
                    <w:rPr>
                      <w:rFonts w:hint="eastAsia" w:ascii="宋体" w:hAnsi="宋体"/>
                      <w:sz w:val="18"/>
                      <w:szCs w:val="18"/>
                      <w:lang w:val="en-US" w:eastAsia="zh-CN"/>
                    </w:rPr>
                    <w:t>5.24</w:t>
                  </w:r>
                </w:p>
              </w:tc>
              <w:tc>
                <w:tcPr>
                  <w:tcW w:w="3056" w:type="dxa"/>
                </w:tcPr>
                <w:p>
                  <w:pPr>
                    <w:rPr>
                      <w:rFonts w:hint="default" w:ascii="宋体" w:hAnsi="宋体" w:eastAsia="宋体" w:cs="黑体"/>
                      <w:lang w:val="en-US" w:eastAsia="zh-CN"/>
                    </w:rPr>
                  </w:pPr>
                  <w:r>
                    <w:rPr>
                      <w:rFonts w:hint="eastAsia" w:ascii="宋体" w:hAnsi="宋体" w:cs="黑体"/>
                      <w:lang w:val="en-US" w:eastAsia="zh-CN"/>
                    </w:rPr>
                    <w:t>产品标识及可追溯性知识培训、召回演练</w:t>
                  </w:r>
                </w:p>
              </w:tc>
              <w:tc>
                <w:tcPr>
                  <w:tcW w:w="1729" w:type="dxa"/>
                </w:tcPr>
                <w:p>
                  <w:pPr>
                    <w:rPr>
                      <w:rFonts w:hint="default" w:ascii="宋体" w:hAnsi="宋体" w:eastAsia="宋体" w:cs="黑体"/>
                      <w:lang w:val="en-US" w:eastAsia="zh-CN"/>
                    </w:rPr>
                  </w:pPr>
                  <w:r>
                    <w:rPr>
                      <w:rFonts w:hint="eastAsia" w:ascii="宋体" w:hAnsi="宋体" w:cs="黑体"/>
                      <w:lang w:val="en-US" w:eastAsia="zh-CN"/>
                    </w:rPr>
                    <w:t>公司全体人员</w:t>
                  </w:r>
                </w:p>
              </w:tc>
              <w:tc>
                <w:tcPr>
                  <w:tcW w:w="1638" w:type="dxa"/>
                </w:tcPr>
                <w:p>
                  <w:pPr>
                    <w:rPr>
                      <w:rFonts w:ascii="宋体" w:hAnsi="宋体"/>
                    </w:rPr>
                  </w:pPr>
                  <w:r>
                    <w:rPr>
                      <w:rFonts w:hint="eastAsia" w:ascii="宋体" w:hAnsi="宋体"/>
                    </w:rPr>
                    <w:sym w:font="Wingdings" w:char="00A8"/>
                  </w:r>
                  <w:r>
                    <w:rPr>
                      <w:rFonts w:hint="eastAsia" w:ascii="宋体" w:hAnsi="宋体"/>
                    </w:rPr>
                    <w:t>笔试</w:t>
                  </w:r>
                  <w:r>
                    <w:rPr>
                      <w:rFonts w:ascii="Segoe UI Symbol" w:hAnsi="Segoe UI Symbol" w:cs="Segoe UI Symbol"/>
                    </w:rPr>
                    <w:t>☑</w:t>
                  </w:r>
                  <w:r>
                    <w:rPr>
                      <w:rFonts w:hint="eastAsia" w:ascii="宋体" w:hAnsi="宋体"/>
                    </w:rPr>
                    <w:t>面试</w:t>
                  </w:r>
                </w:p>
              </w:tc>
              <w:tc>
                <w:tcPr>
                  <w:tcW w:w="1863" w:type="dxa"/>
                </w:tcPr>
                <w:p>
                  <w:pPr>
                    <w:rPr>
                      <w:rFonts w:ascii="宋体" w:hAnsi="宋体" w:cs="MS Mincho"/>
                    </w:rPr>
                  </w:pPr>
                  <w:r>
                    <w:rPr>
                      <w:rFonts w:ascii="Segoe UI Symbol" w:hAnsi="Segoe UI Symbol" w:cs="Segoe UI Symbol"/>
                    </w:rPr>
                    <w:t>☑</w:t>
                  </w:r>
                  <w:r>
                    <w:rPr>
                      <w:rFonts w:hint="eastAsia" w:ascii="宋体" w:hAnsi="宋体"/>
                    </w:rPr>
                    <w:t>有效  □不足</w:t>
                  </w:r>
                </w:p>
              </w:tc>
            </w:tr>
          </w:tbl>
          <w:p/>
          <w:p>
            <w:r>
              <w:rPr>
                <w:rFonts w:hint="eastAsia"/>
                <w:lang w:val="en-US" w:eastAsia="zh-CN"/>
              </w:rPr>
              <w:t>近一年新取得的</w:t>
            </w:r>
            <w:r>
              <w:rPr>
                <w:rFonts w:hint="eastAsia"/>
              </w:rPr>
              <w:t>健康证管理</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301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姓名</w:t>
                  </w:r>
                </w:p>
              </w:tc>
              <w:tc>
                <w:tcPr>
                  <w:tcW w:w="3016" w:type="dxa"/>
                </w:tcPr>
                <w:p>
                  <w:r>
                    <w:rPr>
                      <w:rFonts w:hint="eastAsia"/>
                    </w:rPr>
                    <w:t>健康证编号</w:t>
                  </w:r>
                </w:p>
              </w:tc>
              <w:tc>
                <w:tcPr>
                  <w:tcW w:w="2919" w:type="dxa"/>
                </w:tcPr>
                <w:p>
                  <w:r>
                    <w:rPr>
                      <w:rFonts w:hint="eastAsia"/>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lang w:val="en-US" w:eastAsia="zh-CN"/>
                    </w:rPr>
                    <w:t>分拣</w:t>
                  </w:r>
                  <w:r>
                    <w:t>部</w:t>
                  </w:r>
                </w:p>
              </w:tc>
              <w:tc>
                <w:tcPr>
                  <w:tcW w:w="1515" w:type="dxa"/>
                </w:tcPr>
                <w:p>
                  <w:pPr>
                    <w:rPr>
                      <w:rFonts w:hint="default" w:eastAsia="宋体"/>
                      <w:lang w:val="en-US" w:eastAsia="zh-CN"/>
                    </w:rPr>
                  </w:pPr>
                  <w:r>
                    <w:rPr>
                      <w:rFonts w:hint="eastAsia"/>
                      <w:lang w:val="en-US" w:eastAsia="zh-CN"/>
                    </w:rPr>
                    <w:t>何*威</w:t>
                  </w:r>
                </w:p>
              </w:tc>
              <w:tc>
                <w:tcPr>
                  <w:tcW w:w="3016" w:type="dxa"/>
                </w:tcPr>
                <w:p>
                  <w:pPr>
                    <w:rPr>
                      <w:rFonts w:hint="default" w:eastAsia="宋体"/>
                      <w:lang w:val="en-US" w:eastAsia="zh-CN"/>
                    </w:rPr>
                  </w:pPr>
                  <w:r>
                    <w:rPr>
                      <w:rFonts w:hint="eastAsia"/>
                    </w:rPr>
                    <w:t>1011</w:t>
                  </w:r>
                  <w:r>
                    <w:t>03332000</w:t>
                  </w:r>
                  <w:r>
                    <w:rPr>
                      <w:rFonts w:hint="eastAsia"/>
                      <w:lang w:val="en-US" w:eastAsia="zh-CN"/>
                    </w:rPr>
                    <w:t>5501</w:t>
                  </w:r>
                </w:p>
              </w:tc>
              <w:tc>
                <w:tcPr>
                  <w:tcW w:w="2919" w:type="dxa"/>
                </w:tcPr>
                <w:p>
                  <w:pPr>
                    <w:rPr>
                      <w:rFonts w:hint="default"/>
                      <w:lang w:val="en-US"/>
                    </w:rPr>
                  </w:pPr>
                  <w:r>
                    <w:rPr>
                      <w:rFonts w:hint="eastAsia"/>
                    </w:rPr>
                    <w:t>202</w:t>
                  </w:r>
                  <w:r>
                    <w:rPr>
                      <w:rFonts w:hint="eastAsia"/>
                      <w:lang w:val="en-US" w:eastAsia="zh-CN"/>
                    </w:rPr>
                    <w:t>1</w:t>
                  </w:r>
                  <w:r>
                    <w:rPr>
                      <w:rFonts w:hint="eastAsia"/>
                    </w:rPr>
                    <w:t>.0</w:t>
                  </w:r>
                  <w:r>
                    <w:rPr>
                      <w:rFonts w:hint="eastAsia"/>
                      <w:lang w:val="en-US" w:eastAsia="zh-CN"/>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lang w:val="en-US" w:eastAsia="zh-CN"/>
                    </w:rPr>
                    <w:t>分拣</w:t>
                  </w:r>
                  <w:r>
                    <w:t>部</w:t>
                  </w:r>
                </w:p>
              </w:tc>
              <w:tc>
                <w:tcPr>
                  <w:tcW w:w="1515" w:type="dxa"/>
                </w:tcPr>
                <w:p>
                  <w:pPr>
                    <w:rPr>
                      <w:rFonts w:hint="default" w:eastAsia="宋体"/>
                      <w:lang w:val="en-US" w:eastAsia="zh-CN"/>
                    </w:rPr>
                  </w:pPr>
                  <w:r>
                    <w:rPr>
                      <w:rFonts w:hint="eastAsia"/>
                      <w:lang w:val="en-US" w:eastAsia="zh-CN"/>
                    </w:rPr>
                    <w:t>吕*东</w:t>
                  </w:r>
                </w:p>
              </w:tc>
              <w:tc>
                <w:tcPr>
                  <w:tcW w:w="3016" w:type="dxa"/>
                </w:tcPr>
                <w:p>
                  <w:pPr>
                    <w:rPr>
                      <w:rFonts w:hint="default" w:eastAsia="宋体"/>
                      <w:lang w:val="en-US" w:eastAsia="zh-CN"/>
                    </w:rPr>
                  </w:pPr>
                  <w:r>
                    <w:rPr>
                      <w:rFonts w:hint="eastAsia"/>
                      <w:lang w:val="en-US" w:eastAsia="zh-CN"/>
                    </w:rPr>
                    <w:t>0801032021033223</w:t>
                  </w:r>
                </w:p>
              </w:tc>
              <w:tc>
                <w:tcPr>
                  <w:tcW w:w="2919" w:type="dxa"/>
                </w:tcPr>
                <w:p>
                  <w:pPr>
                    <w:rPr>
                      <w:rFonts w:hint="default"/>
                      <w:lang w:val="en-US"/>
                    </w:rPr>
                  </w:pPr>
                  <w:r>
                    <w:rPr>
                      <w:rFonts w:hint="eastAsia"/>
                    </w:rPr>
                    <w:t>202</w:t>
                  </w:r>
                  <w:r>
                    <w:rPr>
                      <w:rFonts w:hint="eastAsia"/>
                      <w:lang w:val="en-US" w:eastAsia="zh-CN"/>
                    </w:rPr>
                    <w:t>1</w:t>
                  </w:r>
                  <w:r>
                    <w:rPr>
                      <w:rFonts w:hint="eastAsia"/>
                    </w:rPr>
                    <w:t>.0</w:t>
                  </w:r>
                  <w:r>
                    <w:rPr>
                      <w:rFonts w:hint="eastAsia"/>
                      <w:lang w:val="en-US" w:eastAsia="zh-CN"/>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r>
                    <w:rPr>
                      <w:rFonts w:hint="eastAsia"/>
                      <w:lang w:val="en-US" w:eastAsia="zh-CN"/>
                    </w:rPr>
                    <w:t>分拣</w:t>
                  </w:r>
                  <w:r>
                    <w:t>部</w:t>
                  </w:r>
                </w:p>
              </w:tc>
              <w:tc>
                <w:tcPr>
                  <w:tcW w:w="1515" w:type="dxa"/>
                </w:tcPr>
                <w:p>
                  <w:pPr>
                    <w:rPr>
                      <w:rFonts w:hint="default" w:eastAsia="宋体"/>
                      <w:lang w:val="en-US" w:eastAsia="zh-CN"/>
                    </w:rPr>
                  </w:pPr>
                  <w:r>
                    <w:rPr>
                      <w:rFonts w:hint="eastAsia"/>
                      <w:lang w:val="en-US" w:eastAsia="zh-CN"/>
                    </w:rPr>
                    <w:t>赵家诚</w:t>
                  </w:r>
                </w:p>
              </w:tc>
              <w:tc>
                <w:tcPr>
                  <w:tcW w:w="3016" w:type="dxa"/>
                </w:tcPr>
                <w:p>
                  <w:pPr>
                    <w:rPr>
                      <w:rFonts w:hint="default" w:eastAsia="宋体"/>
                      <w:lang w:val="en-US" w:eastAsia="zh-CN"/>
                    </w:rPr>
                  </w:pPr>
                  <w:r>
                    <w:rPr>
                      <w:rFonts w:hint="eastAsia"/>
                      <w:lang w:val="en-US" w:eastAsia="zh-CN"/>
                    </w:rPr>
                    <w:t>0002n012106210034</w:t>
                  </w:r>
                </w:p>
              </w:tc>
              <w:tc>
                <w:tcPr>
                  <w:tcW w:w="2919" w:type="dxa"/>
                </w:tcPr>
                <w:p>
                  <w:r>
                    <w:rPr>
                      <w:rFonts w:hint="eastAsia"/>
                    </w:rPr>
                    <w:t>202</w:t>
                  </w:r>
                  <w:r>
                    <w:rPr>
                      <w:rFonts w:hint="eastAsia"/>
                      <w:lang w:val="en-US" w:eastAsia="zh-CN"/>
                    </w:rPr>
                    <w:t>1</w:t>
                  </w:r>
                  <w:r>
                    <w:rPr>
                      <w:rFonts w:hint="eastAsia"/>
                    </w:rPr>
                    <w:t>.0</w:t>
                  </w:r>
                  <w:r>
                    <w:rPr>
                      <w:rFonts w:hint="eastAsia"/>
                      <w:lang w:val="en-US" w:eastAsia="zh-CN"/>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76" w:type="dxa"/>
                </w:tcPr>
                <w:p>
                  <w:r>
                    <w:rPr>
                      <w:rFonts w:hint="eastAsia"/>
                      <w:lang w:val="en-US" w:eastAsia="zh-CN"/>
                    </w:rPr>
                    <w:t>市场</w:t>
                  </w:r>
                  <w:r>
                    <w:t>部</w:t>
                  </w:r>
                </w:p>
              </w:tc>
              <w:tc>
                <w:tcPr>
                  <w:tcW w:w="1515" w:type="dxa"/>
                </w:tcPr>
                <w:p>
                  <w:pPr>
                    <w:rPr>
                      <w:rFonts w:hint="default" w:eastAsia="宋体"/>
                      <w:lang w:val="en-US" w:eastAsia="zh-CN"/>
                    </w:rPr>
                  </w:pPr>
                  <w:r>
                    <w:rPr>
                      <w:rFonts w:hint="eastAsia"/>
                      <w:lang w:val="en-US" w:eastAsia="zh-CN"/>
                    </w:rPr>
                    <w:t>李*志</w:t>
                  </w:r>
                </w:p>
              </w:tc>
              <w:tc>
                <w:tcPr>
                  <w:tcW w:w="3016" w:type="dxa"/>
                </w:tcPr>
                <w:p>
                  <w:pPr>
                    <w:rPr>
                      <w:rFonts w:hint="default" w:eastAsia="宋体"/>
                      <w:lang w:val="en-US" w:eastAsia="zh-CN"/>
                    </w:rPr>
                  </w:pPr>
                  <w:r>
                    <w:rPr>
                      <w:rFonts w:hint="eastAsia"/>
                    </w:rPr>
                    <w:t>1011</w:t>
                  </w:r>
                  <w:r>
                    <w:t>03332</w:t>
                  </w:r>
                  <w:r>
                    <w:rPr>
                      <w:rFonts w:hint="eastAsia"/>
                      <w:lang w:val="en-US" w:eastAsia="zh-CN"/>
                    </w:rPr>
                    <w:t>1</w:t>
                  </w:r>
                  <w:r>
                    <w:t>00</w:t>
                  </w:r>
                  <w:r>
                    <w:rPr>
                      <w:rFonts w:hint="eastAsia"/>
                      <w:lang w:val="en-US" w:eastAsia="zh-CN"/>
                    </w:rPr>
                    <w:t>0919</w:t>
                  </w:r>
                </w:p>
              </w:tc>
              <w:tc>
                <w:tcPr>
                  <w:tcW w:w="2919" w:type="dxa"/>
                </w:tcPr>
                <w:p>
                  <w:pPr>
                    <w:rPr>
                      <w:rFonts w:hint="default"/>
                      <w:lang w:val="en-US"/>
                    </w:rPr>
                  </w:pPr>
                  <w:r>
                    <w:rPr>
                      <w:rFonts w:hint="eastAsia"/>
                    </w:rPr>
                    <w:t>202</w:t>
                  </w:r>
                  <w:r>
                    <w:rPr>
                      <w:rFonts w:hint="eastAsia"/>
                      <w:lang w:val="en-US" w:eastAsia="zh-CN"/>
                    </w:rPr>
                    <w:t>1</w:t>
                  </w:r>
                  <w:r>
                    <w:rPr>
                      <w:rFonts w:hint="eastAsia"/>
                    </w:rPr>
                    <w:t>.0</w:t>
                  </w:r>
                  <w:r>
                    <w:rPr>
                      <w:rFonts w:hint="eastAsia"/>
                      <w:lang w:val="en-US" w:eastAsia="zh-CN"/>
                    </w:rPr>
                    <w:t>2.02</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pStyle w:val="2"/>
              <w:rPr>
                <w:rFonts w:hint="default"/>
                <w:lang w:val="en-US" w:eastAsia="zh-CN"/>
              </w:rPr>
            </w:pPr>
          </w:p>
          <w:p>
            <w:pPr>
              <w:spacing w:line="280" w:lineRule="exact"/>
              <w:rPr>
                <w:rFonts w:ascii="宋体" w:hAnsi="宋体" w:cs="宋体"/>
                <w:color w:val="000000"/>
                <w:kern w:val="0"/>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lang w:val="en-US" w:eastAsia="zh-CN"/>
              </w:rPr>
              <w:t>F</w:t>
            </w:r>
            <w:r>
              <w:rPr>
                <w:rFonts w:hint="eastAsia" w:ascii="宋体" w:hAnsi="宋体" w:cs="宋体"/>
                <w:color w:val="000000"/>
                <w:kern w:val="0"/>
                <w:szCs w:val="21"/>
              </w:rPr>
              <w:t>7.3</w:t>
            </w:r>
          </w:p>
          <w:p>
            <w:pPr>
              <w:spacing w:line="280" w:lineRule="exact"/>
              <w:rPr>
                <w:b/>
                <w:szCs w:val="21"/>
              </w:rPr>
            </w:pPr>
          </w:p>
        </w:tc>
        <w:tc>
          <w:tcPr>
            <w:tcW w:w="10000" w:type="dxa"/>
            <w:vAlign w:val="center"/>
          </w:tcPr>
          <w:p>
            <w:pPr>
              <w:spacing w:line="280" w:lineRule="exact"/>
              <w:ind w:firstLine="210" w:firstLineChars="100"/>
              <w:rPr>
                <w:szCs w:val="21"/>
              </w:rPr>
            </w:pPr>
            <w:r>
              <w:rPr>
                <w:rFonts w:hint="eastAsia"/>
                <w:szCs w:val="21"/>
              </w:rPr>
              <w:t>通过学习、宣传等方法使在组织控制范围内的相关工作人员知道质量</w:t>
            </w:r>
            <w:r>
              <w:rPr>
                <w:rFonts w:hint="eastAsia"/>
                <w:szCs w:val="21"/>
                <w:lang w:eastAsia="zh-CN"/>
              </w:rPr>
              <w:t>、</w:t>
            </w:r>
            <w:r>
              <w:rPr>
                <w:rFonts w:hint="eastAsia"/>
                <w:szCs w:val="21"/>
                <w:lang w:val="en-US" w:eastAsia="zh-CN"/>
              </w:rPr>
              <w:t>食品安全、</w:t>
            </w:r>
            <w:r>
              <w:rPr>
                <w:rFonts w:hint="eastAsia"/>
                <w:szCs w:val="21"/>
              </w:rPr>
              <w:t>环境、职业健康安全方针；相关的质量、</w:t>
            </w:r>
            <w:r>
              <w:rPr>
                <w:rFonts w:hint="eastAsia"/>
                <w:szCs w:val="21"/>
                <w:lang w:val="en-US" w:eastAsia="zh-CN"/>
              </w:rPr>
              <w:t>食品安全、</w:t>
            </w:r>
            <w:r>
              <w:rPr>
                <w:rFonts w:hint="eastAsia"/>
                <w:szCs w:val="21"/>
              </w:rPr>
              <w:t>环境、职业健康安全目标；员工对质量、</w:t>
            </w:r>
            <w:r>
              <w:rPr>
                <w:rFonts w:hint="eastAsia"/>
                <w:szCs w:val="21"/>
                <w:lang w:val="en-US" w:eastAsia="zh-CN"/>
              </w:rPr>
              <w:t>食品安全、</w:t>
            </w:r>
            <w:r>
              <w:rPr>
                <w:rFonts w:hint="eastAsia"/>
                <w:szCs w:val="21"/>
              </w:rPr>
              <w:t>环境、职业健康安全管理体系有效性的贡献，包括改进质量环境绩效的益处；不符合质量</w:t>
            </w:r>
            <w:r>
              <w:rPr>
                <w:rFonts w:hint="eastAsia"/>
                <w:szCs w:val="21"/>
                <w:lang w:eastAsia="zh-CN"/>
              </w:rPr>
              <w:t>、</w:t>
            </w:r>
            <w:r>
              <w:rPr>
                <w:rFonts w:hint="eastAsia"/>
                <w:szCs w:val="21"/>
                <w:lang w:val="en-US" w:eastAsia="zh-CN"/>
              </w:rPr>
              <w:t>食品安全、</w:t>
            </w:r>
            <w:r>
              <w:rPr>
                <w:rFonts w:hint="eastAsia"/>
                <w:szCs w:val="21"/>
              </w:rPr>
              <w:t>环境和职业健康安全管理体系要求的后果。</w:t>
            </w:r>
          </w:p>
          <w:p>
            <w:pPr>
              <w:spacing w:line="280" w:lineRule="exact"/>
              <w:ind w:firstLine="420" w:firstLineChars="200"/>
              <w:rPr>
                <w:szCs w:val="21"/>
              </w:rPr>
            </w:pPr>
            <w:r>
              <w:rPr>
                <w:rFonts w:hint="eastAsia"/>
                <w:szCs w:val="21"/>
              </w:rPr>
              <w:t>询问办公室</w:t>
            </w:r>
            <w:r>
              <w:rPr>
                <w:rFonts w:hint="eastAsia"/>
                <w:szCs w:val="21"/>
                <w:lang w:eastAsia="zh-CN"/>
              </w:rPr>
              <w:t>王亮</w:t>
            </w:r>
            <w:r>
              <w:rPr>
                <w:rFonts w:hint="eastAsia"/>
                <w:szCs w:val="21"/>
              </w:rPr>
              <w:t>知道公司方针，知道所在的工作岗位的质量、</w:t>
            </w:r>
            <w:r>
              <w:rPr>
                <w:rFonts w:hint="eastAsia"/>
                <w:szCs w:val="21"/>
                <w:lang w:val="en-US" w:eastAsia="zh-CN"/>
              </w:rPr>
              <w:t>食品安全、</w:t>
            </w:r>
            <w:r>
              <w:rPr>
                <w:rFonts w:hint="eastAsia"/>
                <w:szCs w:val="21"/>
              </w:rPr>
              <w:t>环境、职业健康安全目标，也了解自己的工作好坏会影响组织资质量、</w:t>
            </w:r>
            <w:r>
              <w:rPr>
                <w:rFonts w:hint="eastAsia"/>
                <w:szCs w:val="21"/>
                <w:lang w:val="en-US" w:eastAsia="zh-CN"/>
              </w:rPr>
              <w:t>食品安全、</w:t>
            </w:r>
            <w:r>
              <w:rPr>
                <w:rFonts w:hint="eastAsia"/>
                <w:szCs w:val="21"/>
              </w:rPr>
              <w:t>环境、职业健康安全管理体系的有效运行。</w:t>
            </w:r>
          </w:p>
          <w:p>
            <w:pPr>
              <w:spacing w:line="280" w:lineRule="exact"/>
              <w:ind w:firstLine="422" w:firstLineChars="200"/>
              <w:rPr>
                <w:b/>
                <w:szCs w:val="21"/>
              </w:rPr>
            </w:pP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szCs w:val="21"/>
                <w:lang w:val="en-US" w:eastAsia="zh-CN"/>
              </w:rPr>
              <w:t>F</w:t>
            </w:r>
            <w:r>
              <w:rPr>
                <w:rFonts w:hint="eastAsia" w:ascii="宋体" w:hAnsi="宋体" w:cs="宋体"/>
                <w:color w:val="000000"/>
                <w:kern w:val="0"/>
                <w:szCs w:val="21"/>
              </w:rPr>
              <w:t>7.4</w:t>
            </w:r>
          </w:p>
        </w:tc>
        <w:tc>
          <w:tcPr>
            <w:tcW w:w="10000"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w:t>
            </w:r>
            <w:r>
              <w:rPr>
                <w:rFonts w:hint="eastAsia"/>
                <w:szCs w:val="21"/>
                <w:lang w:val="en-US" w:eastAsia="zh-CN"/>
              </w:rPr>
              <w:t>食品安全、</w:t>
            </w:r>
            <w:r>
              <w:rPr>
                <w:rFonts w:hint="eastAsia"/>
                <w:szCs w:val="21"/>
              </w:rPr>
              <w:t>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lang w:eastAsia="zh-CN"/>
              </w:rPr>
              <w:t>办公室</w:t>
            </w:r>
            <w:r>
              <w:rPr>
                <w:rFonts w:hint="eastAsia"/>
                <w:szCs w:val="21"/>
              </w:rPr>
              <w:t>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和员工何某某面谈，知道公司的管理者代表及职业健康安全事务代表。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13"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lang w:val="en-US" w:eastAsia="zh-CN"/>
              </w:rPr>
              <w:t>F</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0"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r>
              <w:rPr>
                <w:rFonts w:hint="eastAsia"/>
                <w:szCs w:val="21"/>
                <w:lang w:eastAsia="zh-CN"/>
              </w:rPr>
              <w:t>，</w:t>
            </w:r>
            <w:r>
              <w:rPr>
                <w:rFonts w:hint="eastAsia"/>
                <w:szCs w:val="21"/>
                <w:lang w:val="en-US" w:eastAsia="zh-CN"/>
              </w:rPr>
              <w:t>食品安全管理体系改版，有变化，C/0版</w:t>
            </w:r>
            <w:r>
              <w:rPr>
                <w:rFonts w:hint="eastAsia"/>
                <w:szCs w:val="21"/>
              </w:rPr>
              <w:t>。</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公司编制并实施了《文件控制程序》，文件包括：管理手册、程序文件、各种管理规定等。</w:t>
            </w:r>
          </w:p>
          <w:p>
            <w:pPr>
              <w:spacing w:line="280" w:lineRule="exact"/>
              <w:ind w:firstLine="420" w:firstLineChars="200"/>
              <w:rPr>
                <w:szCs w:val="21"/>
              </w:rPr>
            </w:pPr>
            <w:r>
              <w:rPr>
                <w:rFonts w:hint="eastAsia"/>
                <w:szCs w:val="21"/>
              </w:rPr>
              <w:t>无企业标准。</w:t>
            </w:r>
          </w:p>
          <w:p>
            <w:pPr>
              <w:spacing w:line="280" w:lineRule="exact"/>
              <w:ind w:firstLine="420" w:firstLineChars="200"/>
              <w:rPr>
                <w:rFonts w:hint="eastAsia"/>
                <w:szCs w:val="21"/>
              </w:rPr>
            </w:pPr>
            <w:r>
              <w:rPr>
                <w:rFonts w:hint="eastAsia"/>
                <w:szCs w:val="21"/>
              </w:rPr>
              <w:t>查管理手册、程序文件等文件，编制：体系推行小组，审核：</w:t>
            </w:r>
            <w:r>
              <w:rPr>
                <w:rFonts w:hint="eastAsia"/>
                <w:szCs w:val="21"/>
                <w:lang w:val="en-US" w:eastAsia="zh-CN"/>
              </w:rPr>
              <w:t>王亮</w:t>
            </w:r>
            <w:r>
              <w:rPr>
                <w:rFonts w:hint="eastAsia"/>
                <w:szCs w:val="21"/>
              </w:rPr>
              <w:t>，批准：</w:t>
            </w:r>
            <w:r>
              <w:rPr>
                <w:rFonts w:hint="eastAsia"/>
                <w:szCs w:val="21"/>
                <w:lang w:eastAsia="zh-CN"/>
              </w:rPr>
              <w:t>金洪庭</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日，查文件编审批手续齐全、文件清晰、编号符合文件控制程序要求。查</w:t>
            </w:r>
            <w:r>
              <w:rPr>
                <w:rFonts w:hint="eastAsia"/>
                <w:szCs w:val="21"/>
                <w:lang w:eastAsia="zh-CN"/>
              </w:rPr>
              <w:t>办公室</w:t>
            </w:r>
            <w:r>
              <w:rPr>
                <w:rFonts w:hint="eastAsia"/>
                <w:szCs w:val="21"/>
              </w:rPr>
              <w:t>文件，都有受控标识，有效版本。</w:t>
            </w:r>
          </w:p>
          <w:p>
            <w:pPr>
              <w:spacing w:line="280" w:lineRule="exact"/>
              <w:ind w:firstLine="420" w:firstLineChars="200"/>
              <w:rPr>
                <w:rFonts w:hint="eastAsia"/>
                <w:szCs w:val="21"/>
              </w:rPr>
            </w:pPr>
            <w:r>
              <w:rPr>
                <w:rFonts w:hint="eastAsia"/>
                <w:szCs w:val="21"/>
              </w:rPr>
              <w:t>查外来文件：与环境、职业健康安全管理体系运行有关的国家法律法规、标准等；行业、地方颁布的条例、标准、规范、规程、办法等，查外来文件具体有环境管理体系标准、职业健康安全管理体系标准等。</w:t>
            </w:r>
          </w:p>
          <w:p>
            <w:pPr>
              <w:spacing w:line="280" w:lineRule="exact"/>
              <w:ind w:firstLine="420" w:firstLineChars="200"/>
              <w:rPr>
                <w:szCs w:val="21"/>
              </w:rPr>
            </w:pPr>
            <w:r>
              <w:rPr>
                <w:rFonts w:hint="eastAsia"/>
                <w:szCs w:val="21"/>
              </w:rPr>
              <w:t>查文件发放：办公室202</w:t>
            </w:r>
            <w:r>
              <w:rPr>
                <w:rFonts w:hint="eastAsia"/>
                <w:szCs w:val="21"/>
                <w:lang w:val="en-US" w:eastAsia="zh-CN"/>
              </w:rPr>
              <w:t>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日下发了管理手册、程序文件、</w:t>
            </w:r>
            <w:r>
              <w:rPr>
                <w:rFonts w:hint="eastAsia"/>
                <w:szCs w:val="21"/>
                <w:lang w:val="en-US" w:eastAsia="zh-CN"/>
              </w:rPr>
              <w:t>前提方案、危害控制计划、</w:t>
            </w:r>
            <w:r>
              <w:rPr>
                <w:rFonts w:hint="eastAsia"/>
                <w:szCs w:val="21"/>
              </w:rPr>
              <w:t>管理制度汇编等文件。</w:t>
            </w:r>
          </w:p>
          <w:p>
            <w:pPr>
              <w:spacing w:line="280" w:lineRule="exact"/>
              <w:ind w:firstLine="420" w:firstLineChars="200"/>
              <w:rPr>
                <w:szCs w:val="21"/>
              </w:rPr>
            </w:pPr>
            <w:r>
              <w:rPr>
                <w:rFonts w:hint="eastAsia"/>
                <w:szCs w:val="21"/>
              </w:rPr>
              <w:t>查</w:t>
            </w:r>
            <w:r>
              <w:rPr>
                <w:rFonts w:hint="eastAsia"/>
                <w:szCs w:val="21"/>
                <w:lang w:eastAsia="zh-CN"/>
              </w:rPr>
              <w:t>办公室</w:t>
            </w:r>
            <w:r>
              <w:rPr>
                <w:rFonts w:hint="eastAsia"/>
                <w:szCs w:val="21"/>
              </w:rPr>
              <w:t>文件有标识，检索方便，文件夹存放于铁制文件柜内，防护符合要求。</w:t>
            </w:r>
          </w:p>
          <w:p>
            <w:pPr>
              <w:spacing w:line="280" w:lineRule="exact"/>
              <w:ind w:firstLine="420" w:firstLineChars="200"/>
              <w:rPr>
                <w:szCs w:val="21"/>
              </w:rPr>
            </w:pPr>
            <w:r>
              <w:rPr>
                <w:rFonts w:hint="eastAsia"/>
                <w:szCs w:val="21"/>
              </w:rPr>
              <w:t>公司编制并实施了《记录控制程序》对管理体系记录的标识、贮存、保护、检索、保存期限和处置等作了明确规定，符合要求。</w:t>
            </w:r>
          </w:p>
          <w:p>
            <w:pPr>
              <w:spacing w:line="280" w:lineRule="exact"/>
              <w:ind w:firstLine="420" w:firstLineChars="200"/>
              <w:rPr>
                <w:szCs w:val="21"/>
              </w:rPr>
            </w:pPr>
            <w:r>
              <w:rPr>
                <w:rFonts w:hint="eastAsia"/>
                <w:szCs w:val="21"/>
              </w:rPr>
              <w:t>公司提供《记录清单》—有内审报告、不符合项报告等记录。明确了记录名称、编号、使用保存部门、保存期限等，并经审核后使用。公司各种记录由各使用部门保存，查阅</w:t>
            </w:r>
            <w:r>
              <w:rPr>
                <w:rFonts w:hint="eastAsia"/>
                <w:szCs w:val="21"/>
                <w:lang w:eastAsia="zh-CN"/>
              </w:rPr>
              <w:t>办公室</w:t>
            </w:r>
            <w:r>
              <w:rPr>
                <w:rFonts w:hint="eastAsia"/>
                <w:szCs w:val="21"/>
              </w:rPr>
              <w:t>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w:t>
            </w:r>
            <w:r>
              <w:rPr>
                <w:szCs w:val="21"/>
              </w:rPr>
              <w:t>室</w:t>
            </w:r>
            <w:r>
              <w:rPr>
                <w:rFonts w:hint="eastAsia"/>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外来记录（如法律法规清单等）由相关部门负责保管、归档。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提供了作废文件记录：有作废理由、作废日期及申请部门、审核人签字。记录控制基本有效。</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13"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0" w:type="dxa"/>
            <w:vAlign w:val="center"/>
          </w:tcPr>
          <w:p>
            <w:pPr>
              <w:tabs>
                <w:tab w:val="left" w:pos="840"/>
                <w:tab w:val="left" w:pos="3560"/>
              </w:tabs>
              <w:ind w:firstLine="420" w:firstLineChars="200"/>
              <w:rPr>
                <w:rFonts w:hint="default" w:ascii="宋体" w:hAnsi="宋体" w:eastAsia="宋体"/>
                <w:color w:val="000000"/>
                <w:spacing w:val="6"/>
                <w:szCs w:val="21"/>
                <w:lang w:val="en-US" w:eastAsia="zh-CN"/>
              </w:rPr>
            </w:pPr>
            <w:r>
              <w:rPr>
                <w:rFonts w:hint="eastAsia"/>
                <w:szCs w:val="21"/>
              </w:rPr>
              <w:t>编制与环境、安全管理体系运行控制有关的文件有《环境因素识别评价控制程序》、《危险源辨识与风险评价控制程序》、《对相关方环安行为控制程序》等。</w:t>
            </w:r>
            <w:r>
              <w:rPr>
                <w:rFonts w:hint="eastAsia" w:ascii="宋体" w:hAnsi="宋体"/>
                <w:color w:val="000000"/>
                <w:spacing w:val="6"/>
                <w:szCs w:val="21"/>
                <w:lang w:val="en-US" w:eastAsia="zh-CN"/>
              </w:rPr>
              <w:t>提供月度《安全环境检查记录》，有检测项目和检测人。</w:t>
            </w:r>
          </w:p>
          <w:p>
            <w:pPr>
              <w:spacing w:line="280" w:lineRule="exact"/>
              <w:ind w:firstLine="420" w:firstLineChars="200"/>
              <w:rPr>
                <w:szCs w:val="21"/>
              </w:rPr>
            </w:pPr>
            <w:r>
              <w:rPr>
                <w:szCs w:val="21"/>
              </w:rPr>
              <w:t>1</w:t>
            </w:r>
            <w:r>
              <w:rPr>
                <w:rFonts w:hint="eastAsia"/>
                <w:szCs w:val="21"/>
              </w:rPr>
              <w:t>、废气管控</w:t>
            </w:r>
          </w:p>
          <w:p>
            <w:pPr>
              <w:spacing w:line="280" w:lineRule="exact"/>
              <w:ind w:firstLine="420" w:firstLineChars="200"/>
              <w:rPr>
                <w:szCs w:val="21"/>
              </w:rPr>
            </w:pPr>
            <w:r>
              <w:rPr>
                <w:rFonts w:hint="eastAsia"/>
                <w:szCs w:val="21"/>
              </w:rPr>
              <w:t>办公现场基本无废气排放</w:t>
            </w:r>
            <w:r>
              <w:rPr>
                <w:rFonts w:hint="eastAsia"/>
                <w:szCs w:val="21"/>
                <w:lang w:eastAsia="zh-CN"/>
              </w:rPr>
              <w:t>，</w:t>
            </w:r>
            <w:r>
              <w:rPr>
                <w:rFonts w:hint="eastAsia"/>
                <w:szCs w:val="21"/>
                <w:lang w:val="en-US" w:eastAsia="zh-CN"/>
              </w:rPr>
              <w:t>新购买的配送车辆使用新能源汽车，以减少废气排放</w:t>
            </w:r>
            <w:r>
              <w:rPr>
                <w:rFonts w:hint="eastAsia"/>
                <w:szCs w:val="21"/>
              </w:rPr>
              <w:t>。</w:t>
            </w:r>
          </w:p>
          <w:p>
            <w:pPr>
              <w:spacing w:line="280" w:lineRule="exact"/>
              <w:ind w:firstLine="420" w:firstLineChars="200"/>
              <w:rPr>
                <w:szCs w:val="21"/>
              </w:rPr>
            </w:pPr>
            <w:r>
              <w:rPr>
                <w:szCs w:val="21"/>
              </w:rPr>
              <w:t>2</w:t>
            </w:r>
            <w:r>
              <w:rPr>
                <w:rFonts w:hint="eastAsia"/>
                <w:szCs w:val="21"/>
              </w:rPr>
              <w:t>、噪声管控</w:t>
            </w:r>
          </w:p>
          <w:p>
            <w:pPr>
              <w:spacing w:line="280" w:lineRule="exact"/>
              <w:ind w:firstLine="420" w:firstLineChars="200"/>
              <w:rPr>
                <w:rFonts w:hint="eastAsia"/>
                <w:szCs w:val="21"/>
              </w:rPr>
            </w:pPr>
            <w:r>
              <w:rPr>
                <w:rFonts w:hint="eastAsia"/>
                <w:szCs w:val="21"/>
              </w:rPr>
              <w:t>办公噪声主要是复印机等运行，噪声较低，采取措施按时清洁保养。</w:t>
            </w:r>
          </w:p>
          <w:p>
            <w:pPr>
              <w:tabs>
                <w:tab w:val="left" w:pos="840"/>
                <w:tab w:val="left" w:pos="3560"/>
              </w:tabs>
              <w:ind w:firstLine="444" w:firstLineChars="200"/>
              <w:rPr>
                <w:rFonts w:ascii="宋体" w:hAnsi="宋体"/>
                <w:color w:val="000000"/>
                <w:szCs w:val="21"/>
              </w:rPr>
            </w:pPr>
            <w:r>
              <w:rPr>
                <w:rFonts w:hint="eastAsia" w:ascii="宋体" w:hAnsi="宋体"/>
                <w:color w:val="000000"/>
                <w:spacing w:val="6"/>
                <w:szCs w:val="21"/>
                <w:lang w:val="en-US" w:eastAsia="zh-CN"/>
              </w:rPr>
              <w:t>3、</w:t>
            </w:r>
            <w:r>
              <w:rPr>
                <w:rFonts w:hint="eastAsia" w:ascii="宋体" w:hAnsi="宋体"/>
                <w:color w:val="000000"/>
                <w:spacing w:val="6"/>
                <w:szCs w:val="21"/>
              </w:rPr>
              <w:t>生活污水运行控制情况：</w:t>
            </w:r>
          </w:p>
          <w:p>
            <w:pPr>
              <w:pStyle w:val="2"/>
            </w:pPr>
            <w:r>
              <w:rPr>
                <w:rFonts w:hint="eastAsia" w:ascii="宋体" w:hAnsi="宋体"/>
                <w:szCs w:val="21"/>
              </w:rPr>
              <w:t>公司生活</w:t>
            </w:r>
            <w:r>
              <w:rPr>
                <w:rFonts w:hint="eastAsia" w:ascii="宋体" w:hAnsi="宋体"/>
                <w:szCs w:val="21"/>
                <w:lang w:val="en-US" w:eastAsia="zh-CN"/>
              </w:rPr>
              <w:t>和水池更换及消毒清洗的</w:t>
            </w:r>
            <w:r>
              <w:rPr>
                <w:rFonts w:hint="eastAsia" w:ascii="宋体" w:hAnsi="宋体"/>
                <w:szCs w:val="21"/>
              </w:rPr>
              <w:t>污水排入</w:t>
            </w:r>
            <w:r>
              <w:rPr>
                <w:rFonts w:hint="eastAsia" w:ascii="宋体" w:hAnsi="宋体"/>
                <w:szCs w:val="21"/>
                <w:lang w:val="en-US" w:eastAsia="zh-CN"/>
              </w:rPr>
              <w:t xml:space="preserve">污水处理池，发酵后，用于农田肥料； 一般生活清洗用水排放农村水池； </w:t>
            </w:r>
          </w:p>
          <w:p>
            <w:pPr>
              <w:spacing w:line="280" w:lineRule="exact"/>
              <w:ind w:firstLine="420" w:firstLineChars="200"/>
              <w:rPr>
                <w:szCs w:val="21"/>
              </w:rPr>
            </w:pPr>
            <w:r>
              <w:rPr>
                <w:rFonts w:hint="eastAsia"/>
                <w:szCs w:val="21"/>
                <w:lang w:val="en-US" w:eastAsia="zh-CN"/>
              </w:rPr>
              <w:t>4</w:t>
            </w:r>
            <w:r>
              <w:rPr>
                <w:rFonts w:hint="eastAsia"/>
                <w:szCs w:val="21"/>
              </w:rPr>
              <w:t>、固废管控</w:t>
            </w:r>
          </w:p>
          <w:p>
            <w:pPr>
              <w:snapToGrid w:val="0"/>
              <w:ind w:firstLine="420" w:firstLineChars="200"/>
              <w:jc w:val="left"/>
              <w:rPr>
                <w:rFonts w:hint="default" w:ascii="宋体" w:hAnsi="宋体" w:eastAsia="宋体"/>
                <w:color w:val="000000"/>
                <w:spacing w:val="6"/>
                <w:szCs w:val="21"/>
                <w:lang w:val="en-US" w:eastAsia="zh-CN"/>
              </w:rPr>
            </w:pPr>
            <w:r>
              <w:rPr>
                <w:rFonts w:hint="eastAsia" w:ascii="宋体" w:hAnsi="宋体"/>
                <w:szCs w:val="21"/>
              </w:rPr>
              <w:t>生活垃圾集中交由当地环卫部门处置；</w:t>
            </w:r>
            <w:r>
              <w:rPr>
                <w:rFonts w:hint="eastAsia" w:ascii="宋体" w:hAnsi="宋体"/>
                <w:color w:val="000000"/>
                <w:spacing w:val="6"/>
                <w:szCs w:val="21"/>
              </w:rPr>
              <w:t>废硒鼓、墨盒、废灯泡、废电池等由</w:t>
            </w:r>
            <w:r>
              <w:rPr>
                <w:rFonts w:hint="eastAsia" w:ascii="宋体" w:hAnsi="宋体"/>
                <w:color w:val="000000"/>
                <w:spacing w:val="6"/>
                <w:szCs w:val="21"/>
                <w:lang w:eastAsia="zh-CN"/>
              </w:rPr>
              <w:t>办公室</w:t>
            </w:r>
            <w:r>
              <w:rPr>
                <w:rFonts w:hint="eastAsia" w:ascii="宋体" w:hAnsi="宋体"/>
                <w:color w:val="000000"/>
                <w:spacing w:val="6"/>
                <w:szCs w:val="21"/>
              </w:rPr>
              <w:t>负责收集；废包装纸箱、废纸等卖于废品回收站；生活垃圾</w:t>
            </w:r>
            <w:r>
              <w:rPr>
                <w:rFonts w:hint="eastAsia" w:ascii="宋体" w:hAnsi="宋体"/>
                <w:color w:val="000000"/>
                <w:spacing w:val="6"/>
                <w:szCs w:val="21"/>
                <w:lang w:val="en-US" w:eastAsia="zh-CN"/>
              </w:rPr>
              <w:t>经分类后，</w:t>
            </w:r>
            <w:r>
              <w:rPr>
                <w:rFonts w:hint="eastAsia" w:ascii="宋体" w:hAnsi="宋体"/>
                <w:color w:val="000000"/>
                <w:spacing w:val="6"/>
                <w:szCs w:val="21"/>
              </w:rPr>
              <w:t>由环卫部门处理；废灯管、废电池量、硒鼓目前量较少，暂存在</w:t>
            </w:r>
            <w:r>
              <w:rPr>
                <w:rFonts w:hint="eastAsia" w:ascii="宋体" w:hAnsi="宋体"/>
                <w:color w:val="000000"/>
                <w:spacing w:val="6"/>
                <w:szCs w:val="21"/>
                <w:lang w:eastAsia="zh-CN"/>
              </w:rPr>
              <w:t>办公室</w:t>
            </w:r>
            <w:r>
              <w:rPr>
                <w:rFonts w:hint="eastAsia" w:ascii="宋体" w:hAnsi="宋体"/>
                <w:color w:val="000000"/>
                <w:spacing w:val="6"/>
                <w:szCs w:val="21"/>
              </w:rPr>
              <w:t>，未转移。</w:t>
            </w:r>
            <w:r>
              <w:rPr>
                <w:rFonts w:hint="eastAsia" w:ascii="宋体" w:hAnsi="宋体"/>
                <w:color w:val="000000"/>
                <w:spacing w:val="6"/>
                <w:szCs w:val="21"/>
                <w:lang w:val="en-US" w:eastAsia="zh-CN"/>
              </w:rPr>
              <w:t>生产废物主要为次残废弃产品，由市场统一收集交环卫处置，公司每年向市场交纳卫生处置费，未提供相关处置记录。</w:t>
            </w:r>
          </w:p>
          <w:p>
            <w:pPr>
              <w:snapToGrid w:val="0"/>
              <w:ind w:firstLine="444" w:firstLineChars="200"/>
              <w:jc w:val="left"/>
              <w:rPr>
                <w:rFonts w:ascii="宋体" w:hAnsi="宋体"/>
                <w:color w:val="000000"/>
                <w:spacing w:val="6"/>
                <w:szCs w:val="21"/>
              </w:rPr>
            </w:pPr>
            <w:r>
              <w:rPr>
                <w:rFonts w:hint="eastAsia" w:ascii="宋体" w:hAnsi="宋体"/>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生活垃圾由当地环卫部门清运。</w:t>
            </w:r>
          </w:p>
          <w:p>
            <w:pPr>
              <w:spacing w:line="280" w:lineRule="exact"/>
              <w:ind w:firstLine="420" w:firstLineChars="200"/>
              <w:rPr>
                <w:szCs w:val="21"/>
              </w:rPr>
            </w:pPr>
            <w:r>
              <w:rPr>
                <w:rFonts w:hint="eastAsia"/>
                <w:szCs w:val="21"/>
                <w:lang w:val="en-US" w:eastAsia="zh-CN"/>
              </w:rPr>
              <w:t>5</w:t>
            </w:r>
            <w:r>
              <w:rPr>
                <w:rFonts w:hint="eastAsia"/>
                <w:szCs w:val="21"/>
              </w:rPr>
              <w:t>、能源资源管控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lang w:val="en-US" w:eastAsia="zh-CN"/>
              </w:rPr>
              <w:t>6</w:t>
            </w:r>
            <w:r>
              <w:rPr>
                <w:rFonts w:hint="eastAsia"/>
                <w:szCs w:val="21"/>
              </w:rPr>
              <w:t>、潜在火灾管控</w:t>
            </w:r>
          </w:p>
          <w:p>
            <w:pPr>
              <w:tabs>
                <w:tab w:val="left" w:pos="840"/>
                <w:tab w:val="left" w:pos="3560"/>
              </w:tabs>
              <w:ind w:firstLine="420" w:firstLineChars="200"/>
              <w:rPr>
                <w:rFonts w:hint="default" w:ascii="宋体" w:hAnsi="宋体" w:eastAsia="宋体"/>
                <w:color w:val="000000"/>
                <w:spacing w:val="6"/>
                <w:szCs w:val="21"/>
                <w:lang w:val="en-US" w:eastAsia="zh-CN"/>
              </w:rPr>
            </w:pPr>
            <w:r>
              <w:rPr>
                <w:rFonts w:hint="eastAsia"/>
                <w:szCs w:val="21"/>
              </w:rPr>
              <w:t>公司办公室现场配有灭火器和应急预案</w:t>
            </w:r>
            <w:r>
              <w:rPr>
                <w:rFonts w:hint="eastAsia" w:ascii="宋体" w:hAnsi="宋体"/>
                <w:color w:val="000000"/>
                <w:spacing w:val="6"/>
                <w:szCs w:val="21"/>
              </w:rPr>
              <w:t>，经查看有效</w:t>
            </w:r>
            <w:r>
              <w:rPr>
                <w:rFonts w:hint="eastAsia" w:ascii="宋体" w:hAnsi="宋体"/>
                <w:color w:val="000000"/>
                <w:spacing w:val="6"/>
                <w:szCs w:val="21"/>
                <w:lang w:eastAsia="zh-CN"/>
              </w:rPr>
              <w:t>，</w:t>
            </w:r>
            <w:r>
              <w:rPr>
                <w:rFonts w:hint="eastAsia" w:ascii="宋体" w:hAnsi="宋体"/>
                <w:color w:val="000000"/>
                <w:spacing w:val="6"/>
                <w:szCs w:val="21"/>
                <w:lang w:val="en-US" w:eastAsia="zh-CN"/>
              </w:rPr>
              <w:t>但2021年检查记录到2021年11月份</w:t>
            </w:r>
            <w:r>
              <w:rPr>
                <w:rFonts w:hint="eastAsia" w:ascii="宋体" w:hAnsi="宋体"/>
                <w:color w:val="000000"/>
                <w:spacing w:val="6"/>
                <w:szCs w:val="21"/>
              </w:rPr>
              <w:t>。</w:t>
            </w:r>
            <w:r>
              <w:rPr>
                <w:rFonts w:hint="eastAsia" w:ascii="宋体" w:hAnsi="宋体"/>
                <w:color w:val="000000"/>
                <w:spacing w:val="6"/>
                <w:szCs w:val="21"/>
                <w:lang w:val="en-US" w:eastAsia="zh-CN"/>
              </w:rPr>
              <w:t>配送汽车、水池及冷库配置灭火器。</w:t>
            </w:r>
          </w:p>
          <w:p>
            <w:pPr>
              <w:spacing w:line="280" w:lineRule="exact"/>
              <w:ind w:left="420" w:leftChars="200"/>
              <w:rPr>
                <w:szCs w:val="21"/>
              </w:rPr>
            </w:pPr>
            <w:r>
              <w:rPr>
                <w:szCs w:val="21"/>
              </w:rPr>
              <w:t>6</w:t>
            </w:r>
            <w:r>
              <w:rPr>
                <w:rFonts w:hint="eastAsia"/>
                <w:szCs w:val="21"/>
              </w:rPr>
              <w:t>、安全防护</w:t>
            </w:r>
          </w:p>
          <w:p>
            <w:pPr>
              <w:spacing w:line="280" w:lineRule="exact"/>
              <w:ind w:left="420" w:leftChars="200"/>
              <w:rPr>
                <w:szCs w:val="21"/>
              </w:rPr>
            </w:pPr>
            <w:r>
              <w:rPr>
                <w:rFonts w:hint="eastAsia"/>
                <w:szCs w:val="21"/>
              </w:rPr>
              <w:t>在车间用电、办公</w:t>
            </w:r>
            <w:r>
              <w:rPr>
                <w:szCs w:val="21"/>
              </w:rPr>
              <w:t>室</w:t>
            </w:r>
            <w:r>
              <w:rPr>
                <w:rFonts w:hint="eastAsia"/>
                <w:szCs w:val="21"/>
              </w:rPr>
              <w:t>用电、配电室用电处贴安全警示标志，配电室贴安全告知书和操作规范。由办公</w:t>
            </w:r>
            <w:r>
              <w:rPr>
                <w:szCs w:val="21"/>
              </w:rPr>
              <w:t>室</w:t>
            </w:r>
            <w:r>
              <w:rPr>
                <w:rFonts w:hint="eastAsia"/>
                <w:szCs w:val="21"/>
              </w:rPr>
              <w:t>统一按月检查安全情况。</w:t>
            </w:r>
          </w:p>
          <w:p>
            <w:pPr>
              <w:spacing w:line="280" w:lineRule="exact"/>
              <w:ind w:firstLine="420" w:firstLineChars="200"/>
              <w:rPr>
                <w:rFonts w:hint="eastAsia"/>
                <w:szCs w:val="21"/>
              </w:rPr>
            </w:pPr>
            <w:r>
              <w:rPr>
                <w:rFonts w:hint="eastAsia"/>
                <w:szCs w:val="21"/>
              </w:rPr>
              <w:t>疫情期间进出公司人员进行温度登记，查看健康码，公司给员工发放口罩等劳保用品，不允许私拉乱扔。</w:t>
            </w:r>
          </w:p>
          <w:p>
            <w:pPr>
              <w:ind w:firstLine="420" w:firstLineChars="200"/>
              <w:rPr>
                <w:rFonts w:ascii="宋体" w:hAnsi="宋体"/>
                <w:szCs w:val="21"/>
              </w:rPr>
            </w:pPr>
          </w:p>
          <w:p>
            <w:pPr>
              <w:ind w:firstLine="420" w:firstLineChars="200"/>
              <w:rPr>
                <w:rFonts w:ascii="宋体" w:hAnsi="宋体"/>
                <w:color w:val="000000"/>
                <w:szCs w:val="21"/>
              </w:rPr>
            </w:pPr>
            <w:r>
              <w:rPr>
                <w:rFonts w:hint="eastAsia" w:ascii="宋体" w:hAnsi="宋体"/>
                <w:color w:val="000000"/>
                <w:szCs w:val="21"/>
              </w:rPr>
              <w:t>公司定期组织人员对环境、安全运行情况进行检查：</w:t>
            </w:r>
          </w:p>
          <w:p>
            <w:pPr>
              <w:ind w:firstLine="420" w:firstLineChars="200"/>
              <w:rPr>
                <w:rFonts w:ascii="宋体" w:hAnsi="宋体" w:cs="黑体"/>
              </w:rPr>
            </w:pPr>
            <w:r>
              <w:rPr>
                <w:rFonts w:hint="eastAsia" w:ascii="宋体" w:hAnsi="宋体"/>
                <w:szCs w:val="21"/>
              </w:rPr>
              <w:t>查见运行检查记录，检查项目包括：</w:t>
            </w:r>
            <w:r>
              <w:rPr>
                <w:rFonts w:hint="eastAsia" w:ascii="宋体" w:hAnsi="宋体" w:cs="黑体"/>
              </w:rPr>
              <w:t>资源节约、车辆安全、交底、</w:t>
            </w:r>
            <w:r>
              <w:rPr>
                <w:rFonts w:hint="eastAsia"/>
              </w:rPr>
              <w:t>员工权利和义务、目标指标落实</w:t>
            </w:r>
            <w:r>
              <w:rPr>
                <w:rFonts w:hint="eastAsia" w:ascii="宋体" w:hAnsi="宋体" w:cs="黑体"/>
              </w:rPr>
              <w:t>、</w:t>
            </w:r>
            <w:r>
              <w:rPr>
                <w:rFonts w:hint="eastAsia"/>
              </w:rPr>
              <w:t>消防应急准备</w:t>
            </w:r>
            <w:r>
              <w:rPr>
                <w:rFonts w:hint="eastAsia" w:ascii="宋体" w:hAnsi="宋体" w:cs="黑体"/>
              </w:rPr>
              <w:t>、</w:t>
            </w:r>
            <w:r>
              <w:rPr>
                <w:rFonts w:hint="eastAsia"/>
              </w:rPr>
              <w:t>环境</w:t>
            </w:r>
            <w:r>
              <w:rPr>
                <w:rFonts w:hint="eastAsia" w:ascii="宋体" w:hAnsi="宋体" w:cs="黑体"/>
              </w:rPr>
              <w:t>、</w:t>
            </w:r>
            <w:r>
              <w:rPr>
                <w:rFonts w:hint="eastAsia"/>
              </w:rPr>
              <w:t>现场管理</w:t>
            </w:r>
            <w:r>
              <w:rPr>
                <w:rFonts w:hint="eastAsia" w:ascii="宋体" w:hAnsi="宋体" w:cs="黑体"/>
              </w:rPr>
              <w:t>、</w:t>
            </w:r>
            <w:r>
              <w:rPr>
                <w:rFonts w:hint="eastAsia"/>
              </w:rPr>
              <w:t>现场安全标识及防护、法律法规遵循情况等</w:t>
            </w:r>
            <w:r>
              <w:rPr>
                <w:rFonts w:hint="eastAsia" w:ascii="宋体" w:hAnsi="宋体" w:cs="黑体"/>
              </w:rPr>
              <w:t>；</w:t>
            </w:r>
          </w:p>
          <w:p>
            <w:pPr>
              <w:ind w:firstLine="420" w:firstLineChars="200"/>
              <w:rPr>
                <w:szCs w:val="21"/>
              </w:rPr>
            </w:pPr>
            <w:r>
              <w:rPr>
                <w:rFonts w:hint="eastAsia" w:ascii="宋体" w:hAnsi="宋体" w:cs="黑体"/>
              </w:rPr>
              <w:t>抽</w:t>
            </w:r>
            <w:r>
              <w:rPr>
                <w:rFonts w:hint="eastAsia" w:ascii="宋体" w:hAnsi="宋体" w:cs="黑体"/>
                <w:lang w:eastAsia="zh-CN"/>
              </w:rPr>
              <w:t>202</w:t>
            </w:r>
            <w:r>
              <w:rPr>
                <w:rFonts w:hint="eastAsia" w:ascii="宋体" w:hAnsi="宋体" w:cs="黑体"/>
                <w:lang w:val="en-US" w:eastAsia="zh-CN"/>
              </w:rPr>
              <w:t>1</w:t>
            </w:r>
            <w:r>
              <w:rPr>
                <w:rFonts w:hint="eastAsia" w:ascii="宋体" w:hAnsi="宋体" w:cs="黑体"/>
              </w:rPr>
              <w:t>年</w:t>
            </w:r>
            <w:r>
              <w:rPr>
                <w:rFonts w:hint="eastAsia" w:ascii="宋体" w:hAnsi="宋体" w:cs="黑体"/>
                <w:lang w:val="en-US" w:eastAsia="zh-CN"/>
              </w:rPr>
              <w:t>8</w:t>
            </w:r>
            <w:r>
              <w:rPr>
                <w:rFonts w:hint="eastAsia" w:ascii="宋体" w:hAnsi="宋体" w:cs="黑体"/>
              </w:rPr>
              <w:t>月</w:t>
            </w:r>
            <w:r>
              <w:rPr>
                <w:rFonts w:hint="eastAsia" w:ascii="宋体" w:hAnsi="宋体" w:cs="黑体"/>
                <w:lang w:val="en-US" w:eastAsia="zh-CN"/>
              </w:rPr>
              <w:t>25</w:t>
            </w:r>
            <w:r>
              <w:rPr>
                <w:rFonts w:hint="eastAsia" w:ascii="宋体" w:hAnsi="宋体" w:cs="黑体"/>
              </w:rPr>
              <w:t>日、</w:t>
            </w:r>
            <w:r>
              <w:rPr>
                <w:rFonts w:hint="eastAsia" w:ascii="宋体" w:hAnsi="宋体" w:cs="黑体"/>
                <w:lang w:eastAsia="zh-CN"/>
              </w:rPr>
              <w:t>202</w:t>
            </w:r>
            <w:r>
              <w:rPr>
                <w:rFonts w:hint="eastAsia" w:ascii="宋体" w:hAnsi="宋体" w:cs="黑体"/>
                <w:lang w:val="en-US" w:eastAsia="zh-CN"/>
              </w:rPr>
              <w:t>1</w:t>
            </w:r>
            <w:r>
              <w:rPr>
                <w:rFonts w:hint="eastAsia" w:ascii="宋体" w:hAnsi="宋体" w:cs="黑体"/>
              </w:rPr>
              <w:t>年</w:t>
            </w:r>
            <w:r>
              <w:rPr>
                <w:rFonts w:hint="eastAsia" w:ascii="宋体" w:hAnsi="宋体" w:cs="黑体"/>
                <w:lang w:val="en-US" w:eastAsia="zh-CN"/>
              </w:rPr>
              <w:t>9</w:t>
            </w:r>
            <w:r>
              <w:rPr>
                <w:rFonts w:hint="eastAsia" w:ascii="宋体" w:hAnsi="宋体" w:cs="黑体"/>
              </w:rPr>
              <w:t>月</w:t>
            </w:r>
            <w:r>
              <w:rPr>
                <w:rFonts w:ascii="宋体" w:hAnsi="宋体" w:cs="黑体"/>
              </w:rPr>
              <w:t>28</w:t>
            </w:r>
            <w:r>
              <w:rPr>
                <w:rFonts w:hint="eastAsia" w:ascii="宋体" w:hAnsi="宋体" w:cs="黑体"/>
              </w:rPr>
              <w:t>日、</w:t>
            </w:r>
            <w:r>
              <w:rPr>
                <w:rFonts w:hint="eastAsia" w:ascii="宋体" w:hAnsi="宋体" w:cs="黑体"/>
                <w:lang w:eastAsia="zh-CN"/>
              </w:rPr>
              <w:t>202</w:t>
            </w:r>
            <w:r>
              <w:rPr>
                <w:rFonts w:hint="eastAsia" w:ascii="宋体" w:hAnsi="宋体" w:cs="黑体"/>
                <w:lang w:val="en-US" w:eastAsia="zh-CN"/>
              </w:rPr>
              <w:t>1</w:t>
            </w:r>
            <w:r>
              <w:rPr>
                <w:rFonts w:hint="eastAsia" w:ascii="宋体" w:hAnsi="宋体" w:cs="黑体"/>
              </w:rPr>
              <w:t>年</w:t>
            </w:r>
            <w:r>
              <w:rPr>
                <w:rFonts w:hint="eastAsia" w:ascii="宋体" w:hAnsi="宋体" w:cs="黑体"/>
                <w:lang w:val="en-US" w:eastAsia="zh-CN"/>
              </w:rPr>
              <w:t>10</w:t>
            </w:r>
            <w:r>
              <w:rPr>
                <w:rFonts w:hint="eastAsia" w:ascii="宋体" w:hAnsi="宋体" w:cs="黑体"/>
              </w:rPr>
              <w:t>月2</w:t>
            </w:r>
            <w:r>
              <w:rPr>
                <w:rFonts w:hint="eastAsia" w:ascii="宋体" w:hAnsi="宋体" w:cs="黑体"/>
                <w:lang w:val="en-US" w:eastAsia="zh-CN"/>
              </w:rPr>
              <w:t>6</w:t>
            </w:r>
            <w:r>
              <w:rPr>
                <w:rFonts w:hint="eastAsia" w:ascii="宋体" w:hAnsi="宋体" w:cs="黑体"/>
              </w:rPr>
              <w:t>日</w:t>
            </w:r>
            <w:r>
              <w:rPr>
                <w:rFonts w:hint="eastAsia" w:ascii="宋体" w:hAnsi="宋体" w:cs="黑体"/>
                <w:lang w:eastAsia="zh-CN"/>
              </w:rPr>
              <w:t>、202</w:t>
            </w:r>
            <w:r>
              <w:rPr>
                <w:rFonts w:hint="eastAsia" w:ascii="宋体" w:hAnsi="宋体" w:cs="黑体"/>
                <w:lang w:val="en-US" w:eastAsia="zh-CN"/>
              </w:rPr>
              <w:t>1</w:t>
            </w:r>
            <w:r>
              <w:rPr>
                <w:rFonts w:hint="eastAsia" w:ascii="宋体" w:hAnsi="宋体" w:cs="黑体"/>
              </w:rPr>
              <w:t>年</w:t>
            </w:r>
            <w:r>
              <w:rPr>
                <w:rFonts w:hint="eastAsia" w:ascii="宋体" w:hAnsi="宋体" w:cs="黑体"/>
                <w:lang w:val="en-US" w:eastAsia="zh-CN"/>
              </w:rPr>
              <w:t>11</w:t>
            </w:r>
            <w:r>
              <w:rPr>
                <w:rFonts w:hint="eastAsia" w:ascii="宋体" w:hAnsi="宋体" w:cs="黑体"/>
              </w:rPr>
              <w:t>月2</w:t>
            </w:r>
            <w:r>
              <w:rPr>
                <w:rFonts w:hint="eastAsia" w:ascii="宋体" w:hAnsi="宋体" w:cs="黑体"/>
                <w:lang w:val="en-US" w:eastAsia="zh-CN"/>
              </w:rPr>
              <w:t>6</w:t>
            </w:r>
            <w:r>
              <w:rPr>
                <w:rFonts w:hint="eastAsia" w:ascii="宋体" w:hAnsi="宋体" w:cs="黑体"/>
              </w:rPr>
              <w:t>日安全环境运行检查记录，检查结果：优、良；</w:t>
            </w:r>
          </w:p>
        </w:tc>
        <w:tc>
          <w:tcPr>
            <w:tcW w:w="1589" w:type="dxa"/>
          </w:tcPr>
          <w:p>
            <w:r>
              <w:rPr>
                <w:rFonts w:hint="eastAsi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13" w:type="dxa"/>
            <w:vAlign w:val="top"/>
          </w:tcPr>
          <w:p>
            <w:pPr>
              <w:spacing w:line="280" w:lineRule="exact"/>
              <w:rPr>
                <w:rFonts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8.2</w:t>
            </w:r>
          </w:p>
        </w:tc>
        <w:tc>
          <w:tcPr>
            <w:tcW w:w="10000" w:type="dxa"/>
            <w:vAlign w:val="center"/>
          </w:tcPr>
          <w:p>
            <w:pPr>
              <w:pStyle w:val="16"/>
              <w:spacing w:line="280" w:lineRule="exact"/>
              <w:rPr>
                <w:sz w:val="21"/>
                <w:szCs w:val="21"/>
              </w:rPr>
            </w:pPr>
            <w:r>
              <w:rPr>
                <w:rFonts w:hint="eastAsia"/>
                <w:sz w:val="21"/>
                <w:szCs w:val="21"/>
              </w:rPr>
              <w:t>编制了《应急准备和响应管理程序》，查看内容基本符合要求。</w:t>
            </w:r>
          </w:p>
          <w:p>
            <w:pPr>
              <w:pStyle w:val="16"/>
              <w:spacing w:line="280" w:lineRule="exact"/>
              <w:ind w:firstLineChars="0"/>
              <w:rPr>
                <w:sz w:val="21"/>
                <w:szCs w:val="21"/>
              </w:rPr>
            </w:pPr>
            <w:r>
              <w:rPr>
                <w:rFonts w:hint="eastAsia"/>
                <w:sz w:val="21"/>
                <w:szCs w:val="21"/>
              </w:rPr>
              <w:t>策划了应急预案包括触电、火灾、中暑等应急预案。</w:t>
            </w:r>
          </w:p>
          <w:p>
            <w:pPr>
              <w:pStyle w:val="16"/>
              <w:spacing w:line="280" w:lineRule="exact"/>
              <w:ind w:firstLineChars="0"/>
              <w:rPr>
                <w:sz w:val="21"/>
                <w:szCs w:val="21"/>
              </w:rPr>
            </w:pPr>
            <w:r>
              <w:rPr>
                <w:rFonts w:hint="eastAsia"/>
                <w:sz w:val="21"/>
                <w:szCs w:val="21"/>
              </w:rPr>
              <w:t>查应急预案评估报告，通过以上评估，公司应急预案的制定基本合理。</w:t>
            </w:r>
          </w:p>
          <w:p>
            <w:pPr>
              <w:pStyle w:val="16"/>
              <w:spacing w:line="280" w:lineRule="exact"/>
              <w:ind w:firstLineChars="0"/>
              <w:rPr>
                <w:sz w:val="21"/>
                <w:szCs w:val="21"/>
              </w:rPr>
            </w:pPr>
            <w:r>
              <w:rPr>
                <w:rFonts w:hint="eastAsia"/>
                <w:sz w:val="21"/>
                <w:szCs w:val="21"/>
              </w:rPr>
              <w:t>公司进行了消防灭火演练，查应急演练记录。</w:t>
            </w:r>
          </w:p>
          <w:p>
            <w:pPr>
              <w:spacing w:line="280" w:lineRule="exact"/>
              <w:rPr>
                <w:rFonts w:hint="eastAsia" w:ascii="Calibri" w:hAnsi="Calibri" w:eastAsia="宋体" w:cs="Times New Roman"/>
                <w:kern w:val="2"/>
                <w:sz w:val="21"/>
                <w:szCs w:val="21"/>
                <w:lang w:val="en-US" w:eastAsia="zh-CN" w:bidi="ar-SA"/>
              </w:rPr>
            </w:pPr>
            <w:r>
              <w:rPr>
                <w:rFonts w:hint="eastAsia" w:ascii="Calibri" w:hAnsi="Calibri"/>
                <w:szCs w:val="21"/>
              </w:rPr>
              <w:t>查消防灭火演练，演练时间</w:t>
            </w:r>
            <w:r>
              <w:rPr>
                <w:rFonts w:hint="eastAsia"/>
                <w:szCs w:val="21"/>
                <w:lang w:eastAsia="zh-CN"/>
              </w:rPr>
              <w:t>202</w:t>
            </w:r>
            <w:r>
              <w:rPr>
                <w:rFonts w:hint="eastAsia"/>
                <w:szCs w:val="21"/>
                <w:lang w:val="en-US" w:eastAsia="zh-CN"/>
              </w:rPr>
              <w:t>1.8</w:t>
            </w:r>
            <w:r>
              <w:rPr>
                <w:rFonts w:hint="eastAsia"/>
                <w:szCs w:val="21"/>
              </w:rPr>
              <w:t>.</w:t>
            </w:r>
            <w:r>
              <w:rPr>
                <w:rFonts w:hint="eastAsia"/>
                <w:szCs w:val="21"/>
                <w:lang w:val="en-US" w:eastAsia="zh-CN"/>
              </w:rPr>
              <w:t>18</w:t>
            </w:r>
            <w:bookmarkStart w:id="1" w:name="_GoBack"/>
            <w:bookmarkEnd w:id="1"/>
            <w:r>
              <w:rPr>
                <w:rFonts w:hint="eastAsia"/>
                <w:szCs w:val="21"/>
              </w:rPr>
              <w:t>上午进行了消防灭火演练</w:t>
            </w:r>
            <w:r>
              <w:rPr>
                <w:rFonts w:hint="eastAsia" w:ascii="Calibri" w:hAnsi="Calibri"/>
                <w:szCs w:val="21"/>
              </w:rPr>
              <w:t>，地点厂区前空地，对演练过程进行了描述，</w:t>
            </w:r>
            <w:r>
              <w:rPr>
                <w:rFonts w:hint="eastAsia" w:ascii="Calibri" w:hAnsi="Calibri"/>
                <w:szCs w:val="21"/>
                <w:lang w:val="en-US" w:eastAsia="zh-CN"/>
              </w:rPr>
              <w:t>推荐演练记录和总结报告，</w:t>
            </w:r>
            <w:r>
              <w:rPr>
                <w:rFonts w:hint="eastAsia" w:ascii="Calibri" w:hAnsi="Calibri"/>
                <w:szCs w:val="21"/>
              </w:rPr>
              <w:t>对预案的有效性进行了评价。目前未发生火灾、人身伤害等事故。</w:t>
            </w:r>
          </w:p>
        </w:tc>
        <w:tc>
          <w:tcPr>
            <w:tcW w:w="158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13" w:type="dxa"/>
            <w:vAlign w:val="top"/>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合规性评价</w:t>
            </w:r>
          </w:p>
        </w:tc>
        <w:tc>
          <w:tcPr>
            <w:tcW w:w="998" w:type="dxa"/>
            <w:vAlign w:val="top"/>
          </w:tcPr>
          <w:p>
            <w:pPr>
              <w:spacing w:line="280" w:lineRule="exact"/>
              <w:rPr>
                <w:rFonts w:hint="default" w:eastAsia="宋体"/>
                <w:szCs w:val="21"/>
                <w:lang w:val="en-US" w:eastAsia="zh-CN"/>
              </w:rPr>
            </w:pPr>
            <w:r>
              <w:rPr>
                <w:rFonts w:hint="eastAsia"/>
                <w:szCs w:val="21"/>
                <w:lang w:val="en-US" w:eastAsia="zh-CN"/>
              </w:rPr>
              <w:t>EO9.1.2</w:t>
            </w:r>
          </w:p>
        </w:tc>
        <w:tc>
          <w:tcPr>
            <w:tcW w:w="10000" w:type="dxa"/>
            <w:vAlign w:val="center"/>
          </w:tcPr>
          <w:p>
            <w:pPr>
              <w:spacing w:line="280" w:lineRule="exact"/>
              <w:rPr>
                <w:rFonts w:hint="default" w:ascii="Calibri" w:hAnsi="Calibri" w:eastAsia="宋体"/>
                <w:szCs w:val="21"/>
                <w:lang w:val="en-US" w:eastAsia="zh-CN"/>
              </w:rPr>
            </w:pPr>
            <w:r>
              <w:rPr>
                <w:rFonts w:hint="eastAsia" w:ascii="Calibri" w:hAnsi="Calibri"/>
                <w:szCs w:val="21"/>
                <w:lang w:val="en-US" w:eastAsia="zh-CN"/>
              </w:rPr>
              <w:t xml:space="preserve">    提供2021.8.8的适用法律法规清单和2021.8.10的环境职业健康安全管理体系合规性评价报告，共列入法规及标准82项，均为有效法规及标准。法规评价报告结论为满足公司经营需求及活动中环境和职业健康安全的需求。</w:t>
            </w:r>
          </w:p>
        </w:tc>
        <w:tc>
          <w:tcPr>
            <w:tcW w:w="1589"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3" w:type="dxa"/>
          </w:tcPr>
          <w:p>
            <w:pPr>
              <w:spacing w:line="280" w:lineRule="exact"/>
            </w:pPr>
            <w:r>
              <w:t>分析与评价</w:t>
            </w:r>
          </w:p>
        </w:tc>
        <w:tc>
          <w:tcPr>
            <w:tcW w:w="998" w:type="dxa"/>
          </w:tcPr>
          <w:p>
            <w:pPr>
              <w:spacing w:line="280" w:lineRule="exact"/>
              <w:rPr>
                <w:rFonts w:hint="eastAsia"/>
              </w:rPr>
            </w:pPr>
            <w:r>
              <w:rPr>
                <w:rFonts w:hint="eastAsia"/>
              </w:rPr>
              <w:t>Q9.1.3</w:t>
            </w:r>
          </w:p>
          <w:p>
            <w:pPr>
              <w:pStyle w:val="2"/>
              <w:rPr>
                <w:rFonts w:hint="default" w:eastAsia="宋体"/>
                <w:lang w:val="en-US" w:eastAsia="zh-CN"/>
              </w:rPr>
            </w:pPr>
            <w:r>
              <w:rPr>
                <w:rFonts w:hint="eastAsia"/>
                <w:lang w:val="en-US" w:eastAsia="zh-CN"/>
              </w:rPr>
              <w:t>F9.1.2</w:t>
            </w:r>
          </w:p>
        </w:tc>
        <w:tc>
          <w:tcPr>
            <w:tcW w:w="10000" w:type="dxa"/>
            <w:vAlign w:val="center"/>
          </w:tcPr>
          <w:p>
            <w:r>
              <w:t>组织</w:t>
            </w:r>
            <w:r>
              <w:rPr>
                <w:rFonts w:hint="eastAsia"/>
              </w:rPr>
              <w:t>对下列</w:t>
            </w:r>
            <w:r>
              <w:t>监测和测量产生的适当数据和信息</w:t>
            </w:r>
            <w:r>
              <w:rPr>
                <w:rFonts w:hint="eastAsia"/>
              </w:rPr>
              <w:t>进行</w:t>
            </w:r>
            <w:r>
              <w:t>分析和评估，</w:t>
            </w:r>
          </w:p>
          <w:p>
            <w:r>
              <w:rPr>
                <w:rFonts w:hint="eastAsia"/>
              </w:rPr>
              <w:t>应利用分析结果</w:t>
            </w:r>
            <w:r>
              <w:t>进行</w:t>
            </w:r>
            <w:r>
              <w:rPr>
                <w:rFonts w:hint="eastAsia"/>
              </w:rPr>
              <w:t>评价</w:t>
            </w:r>
            <w:r>
              <w:t>：</w:t>
            </w:r>
          </w:p>
          <w:p>
            <w:r>
              <w:rPr>
                <w:rFonts w:hint="eastAsia"/>
              </w:rPr>
              <w:sym w:font="Wingdings" w:char="00FE"/>
            </w:r>
            <w:r>
              <w:t xml:space="preserve"> </w:t>
            </w:r>
            <w:r>
              <w:rPr>
                <w:rFonts w:hint="eastAsia"/>
              </w:rPr>
              <w:t>产品和服务的符合性</w:t>
            </w:r>
            <w:r>
              <w:t>；</w:t>
            </w:r>
          </w:p>
          <w:p>
            <w:r>
              <w:rPr>
                <w:rFonts w:hint="eastAsia"/>
              </w:rPr>
              <w:sym w:font="Wingdings" w:char="00FE"/>
            </w:r>
            <w:r>
              <w:t xml:space="preserve"> </w:t>
            </w:r>
            <w:r>
              <w:rPr>
                <w:rFonts w:hint="eastAsia"/>
              </w:rPr>
              <w:t>顾客满意程度</w:t>
            </w:r>
            <w:r>
              <w:t>；</w:t>
            </w:r>
          </w:p>
          <w:p>
            <w:r>
              <w:rPr>
                <w:rFonts w:hint="eastAsia"/>
              </w:rPr>
              <w:sym w:font="Wingdings" w:char="00FE"/>
            </w:r>
            <w:r>
              <w:t xml:space="preserve"> </w:t>
            </w:r>
            <w:r>
              <w:rPr>
                <w:rFonts w:hint="eastAsia"/>
              </w:rPr>
              <w:t>质量管理体系的绩效和有效性</w:t>
            </w:r>
            <w:r>
              <w:t>；</w:t>
            </w:r>
          </w:p>
          <w:p>
            <w:r>
              <w:rPr>
                <w:rFonts w:hint="eastAsia"/>
              </w:rPr>
              <w:sym w:font="Wingdings" w:char="00FE"/>
            </w:r>
            <w:r>
              <w:t xml:space="preserve"> </w:t>
            </w:r>
            <w:r>
              <w:rPr>
                <w:rFonts w:hint="eastAsia"/>
              </w:rPr>
              <w:t>策划是否得到有效实施</w:t>
            </w:r>
            <w:r>
              <w:t>；</w:t>
            </w:r>
          </w:p>
          <w:p>
            <w:r>
              <w:rPr>
                <w:rFonts w:hint="eastAsia"/>
              </w:rPr>
              <w:sym w:font="Wingdings" w:char="00FE"/>
            </w:r>
            <w:r>
              <w:t xml:space="preserve"> </w:t>
            </w:r>
            <w:r>
              <w:rPr>
                <w:rFonts w:hint="eastAsia"/>
              </w:rPr>
              <w:t>针对风险和机遇所采取措施的有效性</w:t>
            </w:r>
          </w:p>
          <w:p>
            <w:r>
              <w:rPr>
                <w:rFonts w:hint="eastAsia"/>
              </w:rPr>
              <w:sym w:font="Wingdings" w:char="00FE"/>
            </w:r>
            <w:r>
              <w:t xml:space="preserve"> </w:t>
            </w:r>
            <w:r>
              <w:rPr>
                <w:rFonts w:hint="eastAsia"/>
              </w:rPr>
              <w:t>外部供方的绩效</w:t>
            </w:r>
          </w:p>
          <w:p>
            <w:r>
              <w:rPr>
                <w:rFonts w:hint="eastAsia"/>
              </w:rPr>
              <w:sym w:font="Wingdings" w:char="00FE"/>
            </w:r>
            <w:r>
              <w:t xml:space="preserve"> </w:t>
            </w:r>
            <w:r>
              <w:rPr>
                <w:rFonts w:hint="eastAsia"/>
              </w:rPr>
              <w:t>质量</w:t>
            </w:r>
            <w:r>
              <w:rPr>
                <w:rFonts w:hint="eastAsia"/>
                <w:lang w:eastAsia="zh-CN"/>
              </w:rPr>
              <w:t>、</w:t>
            </w:r>
            <w:r>
              <w:rPr>
                <w:rFonts w:hint="eastAsia"/>
                <w:lang w:val="en-US" w:eastAsia="zh-CN"/>
              </w:rPr>
              <w:t>食品安全</w:t>
            </w:r>
            <w:r>
              <w:rPr>
                <w:rFonts w:hint="eastAsia"/>
              </w:rPr>
              <w:t>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w:t>
            </w:r>
            <w:r>
              <w:rPr>
                <w:rFonts w:hint="eastAsia"/>
              </w:rPr>
              <w:t xml:space="preserve"> </w:t>
            </w:r>
            <w:r>
              <w:rPr>
                <w:rFonts w:hint="eastAsia"/>
              </w:rPr>
              <w:sym w:font="Wingdings" w:char="00FE"/>
            </w:r>
            <w:r>
              <w:rPr>
                <w:rFonts w:hint="eastAsia"/>
                <w:color w:val="000000"/>
                <w:szCs w:val="21"/>
              </w:rPr>
              <w:t>柱状图 □ 饼状图 □SPC图 □排列图 □其他</w:t>
            </w:r>
          </w:p>
        </w:tc>
        <w:tc>
          <w:tcPr>
            <w:tcW w:w="158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13" w:type="dxa"/>
          </w:tcPr>
          <w:p>
            <w:pPr>
              <w:spacing w:line="280" w:lineRule="exact"/>
              <w:rPr>
                <w:rFonts w:hint="default" w:eastAsia="宋体"/>
                <w:lang w:val="en-US" w:eastAsia="zh-CN"/>
              </w:rPr>
            </w:pPr>
            <w:r>
              <w:rPr>
                <w:rFonts w:hint="eastAsia"/>
                <w:lang w:val="en-US" w:eastAsia="zh-CN"/>
              </w:rPr>
              <w:t>财务</w:t>
            </w:r>
          </w:p>
        </w:tc>
        <w:tc>
          <w:tcPr>
            <w:tcW w:w="998" w:type="dxa"/>
          </w:tcPr>
          <w:p>
            <w:pPr>
              <w:pStyle w:val="2"/>
              <w:rPr>
                <w:rFonts w:hint="eastAsia"/>
                <w:lang w:val="en-US" w:eastAsia="zh-CN"/>
              </w:rPr>
            </w:pPr>
          </w:p>
        </w:tc>
        <w:tc>
          <w:tcPr>
            <w:tcW w:w="10000" w:type="dxa"/>
            <w:vAlign w:val="center"/>
          </w:tcPr>
          <w:p>
            <w:pPr>
              <w:rPr>
                <w:rFonts w:hint="default" w:eastAsia="宋体"/>
                <w:lang w:val="en-US" w:eastAsia="zh-CN"/>
              </w:rPr>
            </w:pPr>
            <w:r>
              <w:rPr>
                <w:rFonts w:hint="eastAsia"/>
                <w:lang w:val="en-US" w:eastAsia="zh-CN"/>
              </w:rPr>
              <w:t>用于体系建设、人员体检、劳保支出等经费约3万元。</w:t>
            </w:r>
          </w:p>
        </w:tc>
        <w:tc>
          <w:tcPr>
            <w:tcW w:w="1589" w:type="dxa"/>
          </w:tcPr>
          <w:p>
            <w:pPr>
              <w:rPr>
                <w:rFonts w:hint="eastAsia"/>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535"/>
    <w:rsid w:val="00011ABE"/>
    <w:rsid w:val="00014210"/>
    <w:rsid w:val="0001645E"/>
    <w:rsid w:val="00021500"/>
    <w:rsid w:val="000240B2"/>
    <w:rsid w:val="00042AEE"/>
    <w:rsid w:val="000507C4"/>
    <w:rsid w:val="00052584"/>
    <w:rsid w:val="00062682"/>
    <w:rsid w:val="00063285"/>
    <w:rsid w:val="0006593E"/>
    <w:rsid w:val="000672D6"/>
    <w:rsid w:val="00076C21"/>
    <w:rsid w:val="00077C88"/>
    <w:rsid w:val="000A75BA"/>
    <w:rsid w:val="000B0CD5"/>
    <w:rsid w:val="000B6409"/>
    <w:rsid w:val="000C1C45"/>
    <w:rsid w:val="000F00A6"/>
    <w:rsid w:val="000F14E3"/>
    <w:rsid w:val="00115E0C"/>
    <w:rsid w:val="00121BF2"/>
    <w:rsid w:val="001311B9"/>
    <w:rsid w:val="00133E72"/>
    <w:rsid w:val="00140940"/>
    <w:rsid w:val="00140A69"/>
    <w:rsid w:val="0015307B"/>
    <w:rsid w:val="00153FBA"/>
    <w:rsid w:val="001547E3"/>
    <w:rsid w:val="0016036E"/>
    <w:rsid w:val="00161BEF"/>
    <w:rsid w:val="00167449"/>
    <w:rsid w:val="00173EA9"/>
    <w:rsid w:val="00183F77"/>
    <w:rsid w:val="001937C7"/>
    <w:rsid w:val="00193CE4"/>
    <w:rsid w:val="001945D7"/>
    <w:rsid w:val="001A05B6"/>
    <w:rsid w:val="001A3B63"/>
    <w:rsid w:val="001A452D"/>
    <w:rsid w:val="001A54D9"/>
    <w:rsid w:val="001B1E4F"/>
    <w:rsid w:val="001C57A3"/>
    <w:rsid w:val="001C7117"/>
    <w:rsid w:val="001D1B1B"/>
    <w:rsid w:val="001E5D59"/>
    <w:rsid w:val="001F0E7B"/>
    <w:rsid w:val="001F37CF"/>
    <w:rsid w:val="00202EF7"/>
    <w:rsid w:val="002103CC"/>
    <w:rsid w:val="00220185"/>
    <w:rsid w:val="00230D5D"/>
    <w:rsid w:val="00237D07"/>
    <w:rsid w:val="002533F4"/>
    <w:rsid w:val="00253AB1"/>
    <w:rsid w:val="00266C67"/>
    <w:rsid w:val="00271F5C"/>
    <w:rsid w:val="00273847"/>
    <w:rsid w:val="00283D09"/>
    <w:rsid w:val="002871F4"/>
    <w:rsid w:val="00287457"/>
    <w:rsid w:val="002A7FC0"/>
    <w:rsid w:val="002B36EC"/>
    <w:rsid w:val="002C22A6"/>
    <w:rsid w:val="002D6035"/>
    <w:rsid w:val="002E0224"/>
    <w:rsid w:val="002E29A0"/>
    <w:rsid w:val="002E55EA"/>
    <w:rsid w:val="002E5B6A"/>
    <w:rsid w:val="002F05BD"/>
    <w:rsid w:val="002F1F32"/>
    <w:rsid w:val="003015FB"/>
    <w:rsid w:val="0030264E"/>
    <w:rsid w:val="00322FC4"/>
    <w:rsid w:val="00323A44"/>
    <w:rsid w:val="003273C2"/>
    <w:rsid w:val="00337EFB"/>
    <w:rsid w:val="003445A0"/>
    <w:rsid w:val="00353DBF"/>
    <w:rsid w:val="003541E0"/>
    <w:rsid w:val="00364D71"/>
    <w:rsid w:val="0037471C"/>
    <w:rsid w:val="00376E6D"/>
    <w:rsid w:val="00380068"/>
    <w:rsid w:val="00382525"/>
    <w:rsid w:val="00384FEF"/>
    <w:rsid w:val="0039410E"/>
    <w:rsid w:val="00397D3F"/>
    <w:rsid w:val="003A4A67"/>
    <w:rsid w:val="003B2FFB"/>
    <w:rsid w:val="003B439A"/>
    <w:rsid w:val="003B48FA"/>
    <w:rsid w:val="003C254E"/>
    <w:rsid w:val="003C3962"/>
    <w:rsid w:val="003C44D1"/>
    <w:rsid w:val="003D278B"/>
    <w:rsid w:val="003E434A"/>
    <w:rsid w:val="003E7551"/>
    <w:rsid w:val="00411849"/>
    <w:rsid w:val="00412873"/>
    <w:rsid w:val="0041454D"/>
    <w:rsid w:val="004166A4"/>
    <w:rsid w:val="0042030E"/>
    <w:rsid w:val="00422D4C"/>
    <w:rsid w:val="00430911"/>
    <w:rsid w:val="00431F93"/>
    <w:rsid w:val="0043712F"/>
    <w:rsid w:val="0044356B"/>
    <w:rsid w:val="004450A7"/>
    <w:rsid w:val="004519BD"/>
    <w:rsid w:val="00453509"/>
    <w:rsid w:val="00466F0A"/>
    <w:rsid w:val="0047490C"/>
    <w:rsid w:val="004819AB"/>
    <w:rsid w:val="004821CB"/>
    <w:rsid w:val="004952DE"/>
    <w:rsid w:val="00497971"/>
    <w:rsid w:val="004A32D9"/>
    <w:rsid w:val="004B004C"/>
    <w:rsid w:val="004B20B2"/>
    <w:rsid w:val="004D14C1"/>
    <w:rsid w:val="004D50EB"/>
    <w:rsid w:val="004D6FC5"/>
    <w:rsid w:val="004E026A"/>
    <w:rsid w:val="004E1CF2"/>
    <w:rsid w:val="004E24A3"/>
    <w:rsid w:val="004E6448"/>
    <w:rsid w:val="004E7665"/>
    <w:rsid w:val="004E7D7E"/>
    <w:rsid w:val="004F4825"/>
    <w:rsid w:val="004F4E79"/>
    <w:rsid w:val="004F62B2"/>
    <w:rsid w:val="00503F34"/>
    <w:rsid w:val="005074C4"/>
    <w:rsid w:val="00507E17"/>
    <w:rsid w:val="00516205"/>
    <w:rsid w:val="00525D62"/>
    <w:rsid w:val="00526615"/>
    <w:rsid w:val="0053129C"/>
    <w:rsid w:val="00532DE5"/>
    <w:rsid w:val="00534F03"/>
    <w:rsid w:val="00551E35"/>
    <w:rsid w:val="0056074B"/>
    <w:rsid w:val="00567182"/>
    <w:rsid w:val="00581FBA"/>
    <w:rsid w:val="005A2330"/>
    <w:rsid w:val="005A23B2"/>
    <w:rsid w:val="005B6C34"/>
    <w:rsid w:val="005C2F18"/>
    <w:rsid w:val="005C74C9"/>
    <w:rsid w:val="005D2531"/>
    <w:rsid w:val="005D34D0"/>
    <w:rsid w:val="005D6071"/>
    <w:rsid w:val="005F384D"/>
    <w:rsid w:val="00607F71"/>
    <w:rsid w:val="00612D7C"/>
    <w:rsid w:val="0061363F"/>
    <w:rsid w:val="00621EA2"/>
    <w:rsid w:val="006256EF"/>
    <w:rsid w:val="0063090A"/>
    <w:rsid w:val="00646303"/>
    <w:rsid w:val="006467E4"/>
    <w:rsid w:val="00657FAB"/>
    <w:rsid w:val="0066353B"/>
    <w:rsid w:val="00663A52"/>
    <w:rsid w:val="0066660C"/>
    <w:rsid w:val="00672093"/>
    <w:rsid w:val="00672C5A"/>
    <w:rsid w:val="00672CC5"/>
    <w:rsid w:val="00680222"/>
    <w:rsid w:val="00682C87"/>
    <w:rsid w:val="00683D04"/>
    <w:rsid w:val="006842EC"/>
    <w:rsid w:val="00697018"/>
    <w:rsid w:val="006A5160"/>
    <w:rsid w:val="006B121A"/>
    <w:rsid w:val="006D117E"/>
    <w:rsid w:val="006D2525"/>
    <w:rsid w:val="006E4E1C"/>
    <w:rsid w:val="006F2650"/>
    <w:rsid w:val="006F2C8A"/>
    <w:rsid w:val="006F472C"/>
    <w:rsid w:val="00704ACF"/>
    <w:rsid w:val="00706769"/>
    <w:rsid w:val="00713461"/>
    <w:rsid w:val="00713C1D"/>
    <w:rsid w:val="00715292"/>
    <w:rsid w:val="00721947"/>
    <w:rsid w:val="0073038B"/>
    <w:rsid w:val="00743414"/>
    <w:rsid w:val="00744F29"/>
    <w:rsid w:val="007469D5"/>
    <w:rsid w:val="0075560B"/>
    <w:rsid w:val="00756C63"/>
    <w:rsid w:val="00761387"/>
    <w:rsid w:val="00774749"/>
    <w:rsid w:val="0078478E"/>
    <w:rsid w:val="007861D2"/>
    <w:rsid w:val="00790832"/>
    <w:rsid w:val="007A1B54"/>
    <w:rsid w:val="007A49F6"/>
    <w:rsid w:val="007A515A"/>
    <w:rsid w:val="007B2056"/>
    <w:rsid w:val="007B4E33"/>
    <w:rsid w:val="007C5A7D"/>
    <w:rsid w:val="007C6A31"/>
    <w:rsid w:val="007C70F9"/>
    <w:rsid w:val="007D0C2D"/>
    <w:rsid w:val="007D3A58"/>
    <w:rsid w:val="007E3C69"/>
    <w:rsid w:val="007E4A1A"/>
    <w:rsid w:val="007E6050"/>
    <w:rsid w:val="00805D1D"/>
    <w:rsid w:val="00807D9E"/>
    <w:rsid w:val="00814B16"/>
    <w:rsid w:val="00815844"/>
    <w:rsid w:val="008242EA"/>
    <w:rsid w:val="008257ED"/>
    <w:rsid w:val="008265BB"/>
    <w:rsid w:val="00834CE8"/>
    <w:rsid w:val="0085042B"/>
    <w:rsid w:val="00860D26"/>
    <w:rsid w:val="008631F9"/>
    <w:rsid w:val="008667F0"/>
    <w:rsid w:val="0086706A"/>
    <w:rsid w:val="00883F59"/>
    <w:rsid w:val="00890D0B"/>
    <w:rsid w:val="00896330"/>
    <w:rsid w:val="008A1509"/>
    <w:rsid w:val="008A449B"/>
    <w:rsid w:val="008B3B2F"/>
    <w:rsid w:val="008B6661"/>
    <w:rsid w:val="008C01A2"/>
    <w:rsid w:val="008D2E87"/>
    <w:rsid w:val="008D3475"/>
    <w:rsid w:val="008D7B5A"/>
    <w:rsid w:val="008E2487"/>
    <w:rsid w:val="008F0117"/>
    <w:rsid w:val="008F5DB3"/>
    <w:rsid w:val="00900DCE"/>
    <w:rsid w:val="00904E4A"/>
    <w:rsid w:val="00912EDF"/>
    <w:rsid w:val="00916E74"/>
    <w:rsid w:val="0092791F"/>
    <w:rsid w:val="009312F9"/>
    <w:rsid w:val="009407A5"/>
    <w:rsid w:val="00950063"/>
    <w:rsid w:val="00954D65"/>
    <w:rsid w:val="00955C0E"/>
    <w:rsid w:val="0096045D"/>
    <w:rsid w:val="00976860"/>
    <w:rsid w:val="0098157B"/>
    <w:rsid w:val="00983E41"/>
    <w:rsid w:val="00984636"/>
    <w:rsid w:val="00985A78"/>
    <w:rsid w:val="00986027"/>
    <w:rsid w:val="00991AEB"/>
    <w:rsid w:val="00992529"/>
    <w:rsid w:val="009977CF"/>
    <w:rsid w:val="009A243B"/>
    <w:rsid w:val="009A79C4"/>
    <w:rsid w:val="009B1072"/>
    <w:rsid w:val="009C00EA"/>
    <w:rsid w:val="009C0B4B"/>
    <w:rsid w:val="009D5506"/>
    <w:rsid w:val="009E487C"/>
    <w:rsid w:val="009F1062"/>
    <w:rsid w:val="00A01526"/>
    <w:rsid w:val="00A07512"/>
    <w:rsid w:val="00A1367A"/>
    <w:rsid w:val="00A14757"/>
    <w:rsid w:val="00A151BB"/>
    <w:rsid w:val="00A30F85"/>
    <w:rsid w:val="00A52229"/>
    <w:rsid w:val="00A6455A"/>
    <w:rsid w:val="00A67EC9"/>
    <w:rsid w:val="00A74C85"/>
    <w:rsid w:val="00A76F84"/>
    <w:rsid w:val="00A858B4"/>
    <w:rsid w:val="00A86196"/>
    <w:rsid w:val="00A94706"/>
    <w:rsid w:val="00AA7B22"/>
    <w:rsid w:val="00AB5CFD"/>
    <w:rsid w:val="00AC1DD4"/>
    <w:rsid w:val="00AD3592"/>
    <w:rsid w:val="00AE6698"/>
    <w:rsid w:val="00B007F3"/>
    <w:rsid w:val="00B03AA7"/>
    <w:rsid w:val="00B03CDC"/>
    <w:rsid w:val="00B119B7"/>
    <w:rsid w:val="00B12FBA"/>
    <w:rsid w:val="00B14A47"/>
    <w:rsid w:val="00B15D2C"/>
    <w:rsid w:val="00B17A39"/>
    <w:rsid w:val="00B309A8"/>
    <w:rsid w:val="00B33DBE"/>
    <w:rsid w:val="00B361C1"/>
    <w:rsid w:val="00B42D17"/>
    <w:rsid w:val="00B531A8"/>
    <w:rsid w:val="00B53B05"/>
    <w:rsid w:val="00B55A45"/>
    <w:rsid w:val="00B60141"/>
    <w:rsid w:val="00B6507C"/>
    <w:rsid w:val="00B655C7"/>
    <w:rsid w:val="00B83443"/>
    <w:rsid w:val="00B93FCE"/>
    <w:rsid w:val="00B97540"/>
    <w:rsid w:val="00BA0D34"/>
    <w:rsid w:val="00BA5268"/>
    <w:rsid w:val="00BA59B6"/>
    <w:rsid w:val="00BA6B1A"/>
    <w:rsid w:val="00BB07C6"/>
    <w:rsid w:val="00BB2461"/>
    <w:rsid w:val="00BC1920"/>
    <w:rsid w:val="00BE074D"/>
    <w:rsid w:val="00BE5C9F"/>
    <w:rsid w:val="00BF121A"/>
    <w:rsid w:val="00BF787E"/>
    <w:rsid w:val="00C004B6"/>
    <w:rsid w:val="00C10212"/>
    <w:rsid w:val="00C277AC"/>
    <w:rsid w:val="00C40042"/>
    <w:rsid w:val="00C41F32"/>
    <w:rsid w:val="00C4272D"/>
    <w:rsid w:val="00C44388"/>
    <w:rsid w:val="00C4548C"/>
    <w:rsid w:val="00C5615F"/>
    <w:rsid w:val="00C57696"/>
    <w:rsid w:val="00C60EB8"/>
    <w:rsid w:val="00C827AA"/>
    <w:rsid w:val="00C856E9"/>
    <w:rsid w:val="00C94573"/>
    <w:rsid w:val="00CA1BE3"/>
    <w:rsid w:val="00CD0BF9"/>
    <w:rsid w:val="00CD1E5C"/>
    <w:rsid w:val="00CD3524"/>
    <w:rsid w:val="00CD4ED7"/>
    <w:rsid w:val="00CD58BC"/>
    <w:rsid w:val="00CD6629"/>
    <w:rsid w:val="00CE1E39"/>
    <w:rsid w:val="00CE34D9"/>
    <w:rsid w:val="00CE3F61"/>
    <w:rsid w:val="00CF1338"/>
    <w:rsid w:val="00D05DB2"/>
    <w:rsid w:val="00D06DB6"/>
    <w:rsid w:val="00D07300"/>
    <w:rsid w:val="00D13ECD"/>
    <w:rsid w:val="00D234DF"/>
    <w:rsid w:val="00D26AEA"/>
    <w:rsid w:val="00D301B9"/>
    <w:rsid w:val="00D51FCC"/>
    <w:rsid w:val="00D525D7"/>
    <w:rsid w:val="00D5507D"/>
    <w:rsid w:val="00D6037A"/>
    <w:rsid w:val="00D772D3"/>
    <w:rsid w:val="00D937E0"/>
    <w:rsid w:val="00DA09A5"/>
    <w:rsid w:val="00DA22FF"/>
    <w:rsid w:val="00DA6334"/>
    <w:rsid w:val="00DC35EB"/>
    <w:rsid w:val="00DC6A53"/>
    <w:rsid w:val="00DD1C43"/>
    <w:rsid w:val="00DD6EDB"/>
    <w:rsid w:val="00DE19D9"/>
    <w:rsid w:val="00DE1A2C"/>
    <w:rsid w:val="00DE2E16"/>
    <w:rsid w:val="00DE2FCE"/>
    <w:rsid w:val="00DE72A8"/>
    <w:rsid w:val="00DF1426"/>
    <w:rsid w:val="00DF19AB"/>
    <w:rsid w:val="00E0114F"/>
    <w:rsid w:val="00E05291"/>
    <w:rsid w:val="00E11BD3"/>
    <w:rsid w:val="00E17655"/>
    <w:rsid w:val="00E219A3"/>
    <w:rsid w:val="00E412E5"/>
    <w:rsid w:val="00E41911"/>
    <w:rsid w:val="00E556FE"/>
    <w:rsid w:val="00E707CA"/>
    <w:rsid w:val="00E709CE"/>
    <w:rsid w:val="00E763FB"/>
    <w:rsid w:val="00E85EE3"/>
    <w:rsid w:val="00E944DC"/>
    <w:rsid w:val="00E97654"/>
    <w:rsid w:val="00EA2EA2"/>
    <w:rsid w:val="00EA301F"/>
    <w:rsid w:val="00EA42A5"/>
    <w:rsid w:val="00EB1A5C"/>
    <w:rsid w:val="00EB4A68"/>
    <w:rsid w:val="00EB5A71"/>
    <w:rsid w:val="00EB6AAC"/>
    <w:rsid w:val="00EB7FE2"/>
    <w:rsid w:val="00EC6DC5"/>
    <w:rsid w:val="00ED41DC"/>
    <w:rsid w:val="00ED5BC7"/>
    <w:rsid w:val="00EE43A0"/>
    <w:rsid w:val="00EE6BAB"/>
    <w:rsid w:val="00F01F3E"/>
    <w:rsid w:val="00F05246"/>
    <w:rsid w:val="00F06070"/>
    <w:rsid w:val="00F11424"/>
    <w:rsid w:val="00F12186"/>
    <w:rsid w:val="00F13080"/>
    <w:rsid w:val="00F13731"/>
    <w:rsid w:val="00F235D7"/>
    <w:rsid w:val="00F249C2"/>
    <w:rsid w:val="00F34F6A"/>
    <w:rsid w:val="00F43CC1"/>
    <w:rsid w:val="00F5455B"/>
    <w:rsid w:val="00F62C59"/>
    <w:rsid w:val="00F762F8"/>
    <w:rsid w:val="00FB4AFD"/>
    <w:rsid w:val="00FB5026"/>
    <w:rsid w:val="00FB6FAA"/>
    <w:rsid w:val="00FC20DD"/>
    <w:rsid w:val="00FC7B37"/>
    <w:rsid w:val="00FD31E6"/>
    <w:rsid w:val="00FF0A51"/>
    <w:rsid w:val="00FF1D21"/>
    <w:rsid w:val="00FF3061"/>
    <w:rsid w:val="0658025C"/>
    <w:rsid w:val="06731ECA"/>
    <w:rsid w:val="077905CD"/>
    <w:rsid w:val="095E35BB"/>
    <w:rsid w:val="0A755CD1"/>
    <w:rsid w:val="0B6151C6"/>
    <w:rsid w:val="0EC4763F"/>
    <w:rsid w:val="100814CE"/>
    <w:rsid w:val="11B844E6"/>
    <w:rsid w:val="15D105FC"/>
    <w:rsid w:val="2FFA128F"/>
    <w:rsid w:val="334E32EA"/>
    <w:rsid w:val="38DF3F58"/>
    <w:rsid w:val="40CB5C4E"/>
    <w:rsid w:val="429806F0"/>
    <w:rsid w:val="497D607C"/>
    <w:rsid w:val="4CA36E35"/>
    <w:rsid w:val="4DED56EF"/>
    <w:rsid w:val="57C40C3C"/>
    <w:rsid w:val="5A407357"/>
    <w:rsid w:val="5C4D0240"/>
    <w:rsid w:val="66A91828"/>
    <w:rsid w:val="6FDF3B3D"/>
    <w:rsid w:val="73B80EB6"/>
    <w:rsid w:val="747D06DB"/>
    <w:rsid w:val="75E4056B"/>
    <w:rsid w:val="7BA2254E"/>
    <w:rsid w:val="7BCA3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99"/>
    <w:pPr>
      <w:tabs>
        <w:tab w:val="left" w:pos="540"/>
      </w:tabs>
      <w:ind w:firstLine="420"/>
    </w:p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 w:type="paragraph" w:customStyle="1" w:styleId="18">
    <w:name w:val="Char Char Char Char"/>
    <w:basedOn w:val="1"/>
    <w:qFormat/>
    <w:uiPriority w:val="0"/>
    <w:pPr>
      <w:widowControl/>
      <w:spacing w:after="160" w:line="240" w:lineRule="exact"/>
      <w:jc w:val="left"/>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1118</Words>
  <Characters>6373</Characters>
  <Lines>53</Lines>
  <Paragraphs>14</Paragraphs>
  <TotalTime>3</TotalTime>
  <ScaleCrop>false</ScaleCrop>
  <LinksUpToDate>false</LinksUpToDate>
  <CharactersWithSpaces>7477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2021-12-29T02:45:27Z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19904FA19C8A46BDA0C3F0E847DFF170</vt:lpwstr>
  </property>
</Properties>
</file>