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6"/>
        <w:gridCol w:w="745"/>
        <w:gridCol w:w="9524"/>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69" w:type="dxa"/>
            <w:gridSpan w:val="2"/>
            <w:vAlign w:val="center"/>
          </w:tcPr>
          <w:p>
            <w:pPr>
              <w:rPr>
                <w:rFonts w:hint="eastAsia" w:eastAsia="宋体"/>
                <w:sz w:val="24"/>
                <w:szCs w:val="24"/>
                <w:lang w:val="en-US" w:eastAsia="zh-CN"/>
              </w:rPr>
            </w:pPr>
            <w:r>
              <w:rPr>
                <w:rFonts w:hint="eastAsia"/>
                <w:sz w:val="24"/>
                <w:szCs w:val="24"/>
              </w:rPr>
              <w:t xml:space="preserve">受审核部门：食品安全小组 </w:t>
            </w:r>
            <w:r>
              <w:rPr>
                <w:sz w:val="24"/>
                <w:szCs w:val="24"/>
              </w:rPr>
              <w:t xml:space="preserve">             </w:t>
            </w:r>
            <w:r>
              <w:rPr>
                <w:rFonts w:hint="eastAsia"/>
                <w:sz w:val="24"/>
                <w:szCs w:val="24"/>
              </w:rPr>
              <w:t>陪同人员：</w:t>
            </w:r>
            <w:r>
              <w:rPr>
                <w:rFonts w:hint="eastAsia"/>
                <w:sz w:val="24"/>
                <w:szCs w:val="24"/>
                <w:lang w:val="en-US" w:eastAsia="zh-CN"/>
              </w:rPr>
              <w:t>王亮</w:t>
            </w:r>
          </w:p>
        </w:tc>
        <w:tc>
          <w:tcPr>
            <w:tcW w:w="17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6" w:type="dxa"/>
            <w:vMerge w:val="continue"/>
            <w:vAlign w:val="center"/>
          </w:tcPr>
          <w:p/>
        </w:tc>
        <w:tc>
          <w:tcPr>
            <w:tcW w:w="10269"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任泽华、</w:t>
            </w:r>
            <w:r>
              <w:rPr>
                <w:rFonts w:hint="eastAsia"/>
                <w:sz w:val="24"/>
                <w:szCs w:val="24"/>
              </w:rPr>
              <w:t>肖新龙</w:t>
            </w:r>
            <w:r>
              <w:rPr>
                <w:rFonts w:hint="eastAsia"/>
                <w:sz w:val="24"/>
                <w:szCs w:val="24"/>
                <w:lang w:eastAsia="zh-CN"/>
              </w:rPr>
              <w:t>（</w:t>
            </w:r>
            <w:r>
              <w:rPr>
                <w:rFonts w:hint="eastAsia"/>
                <w:sz w:val="24"/>
                <w:szCs w:val="24"/>
                <w:lang w:val="en-US" w:eastAsia="zh-CN"/>
              </w:rPr>
              <w:t>远程</w:t>
            </w:r>
            <w:r>
              <w:rPr>
                <w:rFonts w:hint="eastAsia"/>
                <w:sz w:val="24"/>
                <w:szCs w:val="24"/>
                <w:lang w:eastAsia="zh-CN"/>
              </w:rPr>
              <w:t>）</w:t>
            </w:r>
            <w:r>
              <w:rPr>
                <w:sz w:val="24"/>
                <w:szCs w:val="24"/>
              </w:rPr>
              <w:t xml:space="preserve">         </w:t>
            </w:r>
            <w:r>
              <w:rPr>
                <w:rFonts w:hint="eastAsia"/>
                <w:sz w:val="24"/>
                <w:szCs w:val="24"/>
              </w:rPr>
              <w:t>审核日期：2021-</w:t>
            </w:r>
            <w:r>
              <w:rPr>
                <w:rFonts w:hint="eastAsia"/>
                <w:sz w:val="24"/>
                <w:szCs w:val="24"/>
                <w:lang w:val="en-US" w:eastAsia="zh-CN"/>
              </w:rPr>
              <w:t>12-29</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6" w:type="dxa"/>
            <w:vMerge w:val="continue"/>
            <w:vAlign w:val="center"/>
          </w:tcPr>
          <w:p/>
        </w:tc>
        <w:tc>
          <w:tcPr>
            <w:tcW w:w="10269" w:type="dxa"/>
            <w:gridSpan w:val="2"/>
            <w:vAlign w:val="center"/>
          </w:tcPr>
          <w:p>
            <w:pPr>
              <w:autoSpaceDE w:val="0"/>
              <w:autoSpaceDN w:val="0"/>
              <w:adjustRightInd w:val="0"/>
              <w:jc w:val="left"/>
              <w:rPr>
                <w:rFonts w:hint="default" w:eastAsia="宋体" w:cs="Arial"/>
                <w:bCs/>
                <w:sz w:val="18"/>
                <w:szCs w:val="18"/>
                <w:lang w:val="en-US" w:eastAsia="zh-CN"/>
              </w:rPr>
            </w:pPr>
            <w:r>
              <w:rPr>
                <w:rFonts w:hint="eastAsia"/>
                <w:sz w:val="24"/>
                <w:szCs w:val="24"/>
              </w:rPr>
              <w:t>审核条款：</w:t>
            </w:r>
            <w:r>
              <w:rPr>
                <w:rFonts w:hint="eastAsia" w:cs="Arial"/>
                <w:bCs/>
                <w:sz w:val="18"/>
                <w:szCs w:val="18"/>
              </w:rPr>
              <w:t>FSMS:5</w:t>
            </w:r>
            <w:r>
              <w:rPr>
                <w:rFonts w:cs="Arial"/>
                <w:bCs/>
                <w:sz w:val="18"/>
                <w:szCs w:val="18"/>
              </w:rPr>
              <w:t>.3/</w:t>
            </w:r>
            <w:r>
              <w:rPr>
                <w:rFonts w:hint="eastAsia" w:cs="Arial"/>
                <w:bCs/>
                <w:sz w:val="18"/>
                <w:szCs w:val="18"/>
              </w:rPr>
              <w:t>7.1.5/</w:t>
            </w:r>
            <w:r>
              <w:rPr>
                <w:rFonts w:cs="Arial"/>
                <w:bCs/>
                <w:sz w:val="18"/>
                <w:szCs w:val="18"/>
              </w:rPr>
              <w:t>8.1/8.2/8.5/8.6/8.8</w:t>
            </w:r>
            <w:r>
              <w:rPr>
                <w:rFonts w:hint="eastAsia" w:cs="Arial"/>
                <w:bCs/>
                <w:sz w:val="18"/>
                <w:szCs w:val="18"/>
                <w:lang w:val="en-US" w:eastAsia="zh-CN"/>
              </w:rPr>
              <w:t>/9.1.2</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2" w:type="dxa"/>
            <w:vMerge w:val="restart"/>
          </w:tcPr>
          <w:p>
            <w:r>
              <w:rPr>
                <w:rFonts w:hint="eastAsia"/>
              </w:rPr>
              <w:t>组织的角色、职责和权限</w:t>
            </w:r>
          </w:p>
        </w:tc>
        <w:tc>
          <w:tcPr>
            <w:tcW w:w="996" w:type="dxa"/>
            <w:vMerge w:val="restart"/>
          </w:tcPr>
          <w:p>
            <w:r>
              <w:rPr>
                <w:rFonts w:hint="eastAsia"/>
              </w:rPr>
              <w:t>F5.3</w:t>
            </w:r>
          </w:p>
          <w:p/>
        </w:tc>
        <w:tc>
          <w:tcPr>
            <w:tcW w:w="745" w:type="dxa"/>
          </w:tcPr>
          <w:p>
            <w:r>
              <w:rPr>
                <w:rFonts w:hint="eastAsia"/>
              </w:rPr>
              <w:t>文件名称</w:t>
            </w:r>
          </w:p>
        </w:tc>
        <w:tc>
          <w:tcPr>
            <w:tcW w:w="9524" w:type="dxa"/>
          </w:tcPr>
          <w:p>
            <w:r>
              <w:rPr>
                <w:rFonts w:hint="eastAsia"/>
              </w:rPr>
              <w:t>如：</w:t>
            </w:r>
            <w:r>
              <w:rPr/>
              <w:sym w:font="Wingdings" w:char="00FE"/>
            </w:r>
            <w:r>
              <w:rPr>
                <w:rFonts w:hint="eastAsia"/>
              </w:rPr>
              <w:t>管理手册第5.3章</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22" w:type="dxa"/>
            <w:vMerge w:val="continue"/>
          </w:tcPr>
          <w:p/>
        </w:tc>
        <w:tc>
          <w:tcPr>
            <w:tcW w:w="996" w:type="dxa"/>
            <w:vMerge w:val="continue"/>
          </w:tcPr>
          <w:p/>
        </w:tc>
        <w:tc>
          <w:tcPr>
            <w:tcW w:w="745" w:type="dxa"/>
          </w:tcPr>
          <w:p>
            <w:r>
              <w:rPr>
                <w:rFonts w:hint="eastAsia"/>
              </w:rPr>
              <w:t>运行证据</w:t>
            </w:r>
          </w:p>
        </w:tc>
        <w:tc>
          <w:tcPr>
            <w:tcW w:w="9524" w:type="dxa"/>
          </w:tcPr>
          <w:p>
            <w:r>
              <w:rPr>
                <w:rFonts w:hint="eastAsia"/>
              </w:rPr>
              <w:t>有食品安全小组名单，包括了</w:t>
            </w:r>
            <w:r>
              <w:rPr>
                <w:rFonts w:hint="eastAsia" w:ascii="宋体" w:hAnsi="宋体" w:cs="宋体"/>
                <w:color w:val="000000"/>
                <w:szCs w:val="21"/>
                <w:u w:val="single"/>
                <w:lang w:val="en-US" w:eastAsia="zh-CN"/>
              </w:rPr>
              <w:t>分拣部、办公室、市场部</w:t>
            </w:r>
            <w:r>
              <w:rPr>
                <w:rFonts w:hint="eastAsia"/>
              </w:rPr>
              <w:t>的人员</w:t>
            </w:r>
          </w:p>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u w:val="single"/>
                <w:lang w:val="en-US" w:eastAsia="zh-CN"/>
              </w:rPr>
              <w:t>金洪庭</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ascii="宋体" w:hAnsi="宋体"/>
                <w:b/>
                <w:szCs w:val="21"/>
                <w:u w:val="single"/>
                <w:lang w:val="en-US" w:eastAsia="zh-CN"/>
              </w:rPr>
              <w:t xml:space="preserve">胡常成先生 </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2" w:type="dxa"/>
            <w:vMerge w:val="restart"/>
            <w:shd w:val="clear" w:color="auto" w:fill="auto"/>
          </w:tcPr>
          <w:p>
            <w:r>
              <w:t>食品安全管理体系外部建立的要素</w:t>
            </w:r>
          </w:p>
        </w:tc>
        <w:tc>
          <w:tcPr>
            <w:tcW w:w="996"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952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524"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2" w:type="dxa"/>
            <w:vMerge w:val="restart"/>
            <w:shd w:val="clear" w:color="auto" w:fill="auto"/>
          </w:tcPr>
          <w:p>
            <w:r>
              <w:rPr>
                <w:rFonts w:hint="eastAsia"/>
              </w:rPr>
              <w:t>运行策划和控制</w:t>
            </w:r>
          </w:p>
        </w:tc>
        <w:tc>
          <w:tcPr>
            <w:tcW w:w="996" w:type="dxa"/>
            <w:vMerge w:val="restart"/>
            <w:shd w:val="clear" w:color="auto" w:fill="auto"/>
          </w:tcPr>
          <w:p>
            <w:r>
              <w:rPr>
                <w:rFonts w:hint="eastAsia"/>
              </w:rPr>
              <w:t>F8.1</w:t>
            </w:r>
          </w:p>
          <w:p/>
        </w:tc>
        <w:tc>
          <w:tcPr>
            <w:tcW w:w="745" w:type="dxa"/>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手册8.1条款、</w:t>
            </w:r>
            <w:r>
              <w:rPr/>
              <w:sym w:font="Wingdings" w:char="00FE"/>
            </w:r>
            <w:r>
              <w:rPr>
                <w:rFonts w:hint="eastAsia"/>
              </w:rPr>
              <w:t>《人力资源管理程序》、《能力和意识控制程序》</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22"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524" w:type="dxa"/>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w:t>
            </w:r>
            <w:r>
              <w:rPr>
                <w:rFonts w:hint="eastAsia"/>
                <w:u w:val="single"/>
                <w:lang w:val="en-US" w:eastAsia="zh-CN"/>
              </w:rPr>
              <w:t>销售</w:t>
            </w:r>
            <w:r>
              <w:rPr>
                <w:rFonts w:hint="eastAsia"/>
                <w:u w:val="single"/>
              </w:rPr>
              <w:t>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color w:val="000000"/>
                <w:u w:val="single"/>
              </w:rPr>
              <w:t>无</w:t>
            </w:r>
            <w:r>
              <w:rPr>
                <w:rFonts w:hint="eastAsia"/>
                <w:u w:val="single"/>
                <w:lang w:val="en-US" w:eastAsia="zh-CN"/>
              </w:rPr>
              <w:t xml:space="preserve">   </w:t>
            </w:r>
            <w:r>
              <w:rPr>
                <w:rFonts w:hint="eastAsia"/>
                <w:u w:val="single"/>
              </w:rPr>
              <w:t xml:space="preserve"> </w:t>
            </w:r>
            <w:r>
              <w:rPr>
                <w:rFonts w:hint="eastAsia"/>
              </w:rPr>
              <w:t>。</w:t>
            </w:r>
          </w:p>
          <w:p>
            <w:r>
              <w:rPr>
                <w:rFonts w:hint="eastAsia"/>
              </w:rPr>
              <w:t>外包过程的控制（见7.1.6）。</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2" w:type="dxa"/>
            <w:vMerge w:val="restart"/>
          </w:tcPr>
          <w:p>
            <w:r>
              <w:rPr>
                <w:rFonts w:hint="eastAsia"/>
              </w:rPr>
              <w:t>前提方案（PRP）</w:t>
            </w:r>
          </w:p>
        </w:tc>
        <w:tc>
          <w:tcPr>
            <w:tcW w:w="996" w:type="dxa"/>
            <w:vMerge w:val="restart"/>
          </w:tcPr>
          <w:p>
            <w:r>
              <w:rPr>
                <w:rFonts w:hint="eastAsia"/>
              </w:rPr>
              <w:t>F8.2</w:t>
            </w:r>
          </w:p>
        </w:tc>
        <w:tc>
          <w:tcPr>
            <w:tcW w:w="745" w:type="dxa"/>
          </w:tcPr>
          <w:p>
            <w:r>
              <w:rPr>
                <w:rFonts w:hint="eastAsia"/>
              </w:rPr>
              <w:t>文件名称</w:t>
            </w:r>
          </w:p>
        </w:tc>
        <w:tc>
          <w:tcPr>
            <w:tcW w:w="9524" w:type="dxa"/>
          </w:tcPr>
          <w:p>
            <w:r>
              <w:rPr>
                <w:rFonts w:hint="eastAsia"/>
              </w:rPr>
              <w:t>如：</w:t>
            </w:r>
            <w:r>
              <w:rPr/>
              <w:sym w:font="Wingdings" w:char="00FE"/>
            </w:r>
            <w:r>
              <w:rPr>
                <w:rFonts w:hint="eastAsia"/>
              </w:rPr>
              <w:t>《前提方案》</w:t>
            </w:r>
          </w:p>
        </w:tc>
        <w:tc>
          <w:tcPr>
            <w:tcW w:w="17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tcPr>
          <w:p/>
        </w:tc>
        <w:tc>
          <w:tcPr>
            <w:tcW w:w="996" w:type="dxa"/>
            <w:vMerge w:val="continue"/>
          </w:tcPr>
          <w:p/>
        </w:tc>
        <w:tc>
          <w:tcPr>
            <w:tcW w:w="745" w:type="dxa"/>
          </w:tcPr>
          <w:p>
            <w:r>
              <w:rPr>
                <w:rFonts w:hint="eastAsia"/>
              </w:rPr>
              <w:t>运行证据</w:t>
            </w:r>
          </w:p>
        </w:tc>
        <w:tc>
          <w:tcPr>
            <w:tcW w:w="9524" w:type="dxa"/>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highlight w:val="none"/>
                <w:u w:val="single"/>
              </w:rPr>
              <w:t xml:space="preserve">  </w:t>
            </w:r>
            <w:r>
              <w:rPr>
                <w:rFonts w:hint="eastAsia"/>
              </w:rPr>
              <w:t xml:space="preserve"> </w:t>
            </w:r>
            <w:r>
              <w:rPr>
                <w:rFonts w:hint="eastAsia"/>
                <w:color w:val="000000"/>
                <w:szCs w:val="21"/>
                <w:u w:val="single"/>
              </w:rPr>
              <w:t>GB 31621-2014 《食品安全国家标准 食品经营过程卫生规范》</w:t>
            </w:r>
            <w:r>
              <w:rPr>
                <w:rFonts w:hint="eastAsia"/>
                <w:highlight w:val="none"/>
                <w:u w:val="single"/>
              </w:rPr>
              <w:t xml:space="preserve">      </w:t>
            </w:r>
            <w:r>
              <w:rPr>
                <w:rFonts w:hint="eastAsia"/>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21</w:t>
            </w:r>
            <w:r>
              <w:rPr>
                <w:rFonts w:hint="eastAsia"/>
                <w:u w:val="single"/>
              </w:rPr>
              <w:t xml:space="preserve">  年 </w:t>
            </w:r>
            <w:r>
              <w:rPr>
                <w:rFonts w:hint="eastAsia"/>
                <w:u w:val="single"/>
                <w:lang w:val="en-US" w:eastAsia="zh-CN"/>
              </w:rPr>
              <w:t>4</w:t>
            </w:r>
            <w:r>
              <w:rPr>
                <w:rFonts w:hint="eastAsia"/>
                <w:u w:val="single"/>
              </w:rPr>
              <w:t xml:space="preserve"> 月   </w:t>
            </w:r>
            <w:r>
              <w:rPr>
                <w:rFonts w:hint="eastAsia"/>
                <w:u w:val="single"/>
                <w:lang w:val="en-US" w:eastAsia="zh-CN"/>
              </w:rPr>
              <w:t>8</w:t>
            </w:r>
            <w:r>
              <w:rPr>
                <w:rFonts w:hint="eastAsia"/>
                <w:u w:val="single"/>
              </w:rPr>
              <w:t xml:space="preserve">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顾客要求：食材新鲜、安全</w:t>
            </w:r>
          </w:p>
          <w:p>
            <w:r>
              <w:t>3）适用法典和指南。</w:t>
            </w:r>
          </w:p>
          <w:p>
            <w:pPr>
              <w:rPr>
                <w:highlight w:val="cyan"/>
              </w:rPr>
            </w:pPr>
            <w:r>
              <w:rPr>
                <w:rFonts w:hint="eastAsia"/>
              </w:rPr>
              <w:t xml:space="preserve"> </w:t>
            </w:r>
            <w:r>
              <w:t xml:space="preserve"> </w:t>
            </w:r>
            <w:r>
              <w:rPr>
                <w:rFonts w:hint="eastAsia"/>
              </w:rPr>
              <w:t>无</w:t>
            </w:r>
          </w:p>
        </w:tc>
        <w:tc>
          <w:tcPr>
            <w:tcW w:w="17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实施危害分析的预备步骤</w:t>
            </w:r>
          </w:p>
          <w:p/>
        </w:tc>
        <w:tc>
          <w:tcPr>
            <w:tcW w:w="996" w:type="dxa"/>
            <w:vMerge w:val="restart"/>
            <w:shd w:val="clear" w:color="auto" w:fill="auto"/>
          </w:tcPr>
          <w:p>
            <w:r>
              <w:rPr>
                <w:rFonts w:hint="eastAsia"/>
              </w:rPr>
              <w:t>F8.5.1</w:t>
            </w:r>
          </w:p>
          <w:p>
            <w:r>
              <w:rPr>
                <w:rFonts w:hint="eastAsia"/>
              </w:rPr>
              <w:t>H</w:t>
            </w:r>
            <w:r>
              <w:t>7.2</w:t>
            </w:r>
          </w:p>
        </w:tc>
        <w:tc>
          <w:tcPr>
            <w:tcW w:w="745" w:type="dxa"/>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《危害控制计划》</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22"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524"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rPr>
                <w:rFonts w:hint="eastAsia"/>
                <w:u w:val="single"/>
                <w:lang w:val="en-US" w:eastAsia="zh-CN"/>
              </w:rPr>
            </w:pPr>
            <w:r>
              <w:rPr>
                <w:rFonts w:hint="eastAsia"/>
              </w:rPr>
              <w:t>原材料：</w:t>
            </w:r>
            <w:r>
              <w:rPr>
                <w:rFonts w:hint="eastAsia"/>
                <w:u w:val="single"/>
                <w:lang w:val="en-US" w:eastAsia="zh-CN"/>
              </w:rPr>
              <w:t xml:space="preserve">鲜活（草鱼、基围虾、牛蛙、石斑鱼、银鳕鱼、鲈鱼、鳜鱼、甲鱼、带鱼、多宝鱼、偏 </w:t>
            </w:r>
          </w:p>
          <w:p>
            <w:pPr>
              <w:spacing w:line="360" w:lineRule="exact"/>
              <w:rPr>
                <w:u w:val="single"/>
              </w:rPr>
            </w:pPr>
            <w:r>
              <w:rPr>
                <w:rFonts w:hint="eastAsia"/>
                <w:u w:val="single"/>
                <w:lang w:val="en-US" w:eastAsia="zh-CN"/>
              </w:rPr>
              <w:t>口鱼、鲤鱼、黑鱼、鳝鱼、白鳝、东星斑、鲫鱼、膏蟹、肉蟹、青蟹、珍宝蟹等）；冷冻（乌鱼蛋、黄鱼、鱿鱼、大虾、虾仁、鲜鱿、蛰头、冻雪鱼、黄鱼、蟹黄、蟹腿肉、龙利鱼） 、水产品干货（螺片、干鱿鱼、小鱼翅、大鱼翅、海参、干鱼肚）等</w:t>
            </w:r>
            <w:r>
              <w:rPr>
                <w:rFonts w:hint="eastAsia"/>
                <w:u w:val="single"/>
              </w:rPr>
              <w:t xml:space="preserve">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lang w:val="en-US" w:eastAsia="zh-CN"/>
              </w:rPr>
              <w:t xml:space="preserve"> </w:t>
            </w:r>
            <w:r>
              <w:rPr>
                <w:rFonts w:hint="eastAsia"/>
                <w:u w:val="single"/>
              </w:rPr>
              <w:t xml:space="preserve">  </w:t>
            </w:r>
            <w:r>
              <w:rPr>
                <w:rFonts w:hint="eastAsia"/>
                <w:u w:val="single"/>
                <w:lang w:val="en-US" w:eastAsia="zh-CN"/>
              </w:rPr>
              <w:t>清洗消毒剂</w:t>
            </w:r>
            <w:r>
              <w:rPr>
                <w:rFonts w:hint="eastAsia"/>
                <w:u w:val="single"/>
              </w:rPr>
              <w:t xml:space="preserve">      </w:t>
            </w:r>
          </w:p>
          <w:p>
            <w:pPr>
              <w:rPr>
                <w:u w:val="single"/>
              </w:rPr>
            </w:pPr>
            <w:r>
              <w:rPr>
                <w:rFonts w:hint="eastAsia"/>
              </w:rPr>
              <w:t>包装材料：</w:t>
            </w:r>
            <w:r>
              <w:rPr>
                <w:rFonts w:hint="eastAsia"/>
                <w:u w:val="single"/>
              </w:rPr>
              <w:t xml:space="preserve">塑料盒、塑料袋、塑料筐             </w:t>
            </w:r>
          </w:p>
          <w:p>
            <w:pPr>
              <w:rPr>
                <w:u w:val="single"/>
              </w:rPr>
            </w:pP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 xml:space="preserve">同原材料 </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主要用于酒店、食堂等餐饮企业使用</w:t>
            </w:r>
            <w:r>
              <w:rPr>
                <w:rFonts w:hint="eastAsia"/>
                <w:u w:val="single"/>
              </w:rPr>
              <w:t xml:space="preserve">         </w:t>
            </w:r>
          </w:p>
          <w:p/>
          <w:p>
            <w:pPr>
              <w:rPr>
                <w:rFonts w:hint="default" w:eastAsia="宋体"/>
                <w:u w:val="single"/>
                <w:lang w:val="en-US" w:eastAsia="zh-CN"/>
              </w:rPr>
            </w:pPr>
            <w:r>
              <w:rPr>
                <w:rFonts w:hint="eastAsia"/>
              </w:rPr>
              <w:t>确定已知特别容易受到特定食品安全危害易感的消费群体/使用者：</w:t>
            </w:r>
            <w:r>
              <w:rPr>
                <w:rFonts w:hint="eastAsia"/>
                <w:u w:val="single"/>
                <w:lang w:val="en-US" w:eastAsia="zh-CN"/>
              </w:rPr>
              <w:t xml:space="preserve">   无（通过酒店端与客户对接控制）                     </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lang w:eastAsia="zh-CN"/>
              </w:rPr>
            </w:pPr>
            <w:r>
              <w:rPr>
                <w:rFonts w:hint="eastAsia"/>
              </w:rPr>
              <w:sym w:font="Wingdings" w:char="00A8"/>
            </w:r>
            <w:r>
              <w:rPr>
                <w:rFonts w:hint="eastAsia"/>
              </w:rPr>
              <w:t xml:space="preserve"> 返工点和循环点；</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21年</w:t>
            </w:r>
            <w:r>
              <w:rPr>
                <w:rFonts w:hint="eastAsia"/>
                <w:szCs w:val="21"/>
                <w:u w:val="single"/>
                <w:lang w:val="en-US" w:eastAsia="zh-CN"/>
              </w:rPr>
              <w:t>4</w:t>
            </w:r>
            <w:r>
              <w:rPr>
                <w:rFonts w:hint="eastAsia"/>
                <w:szCs w:val="21"/>
              </w:rPr>
              <w:t>月</w:t>
            </w:r>
            <w:r>
              <w:rPr>
                <w:rFonts w:hint="eastAsia"/>
                <w:szCs w:val="21"/>
                <w:u w:val="single"/>
              </w:rPr>
              <w:t xml:space="preserve"> </w:t>
            </w:r>
            <w:r>
              <w:rPr>
                <w:rFonts w:hint="eastAsia"/>
                <w:szCs w:val="21"/>
                <w:u w:val="single"/>
                <w:lang w:val="en-US" w:eastAsia="zh-CN"/>
              </w:rPr>
              <w:t>8</w:t>
            </w:r>
            <w:r>
              <w:rPr>
                <w:rFonts w:hint="eastAsia"/>
                <w:szCs w:val="21"/>
                <w:u w:val="single"/>
              </w:rPr>
              <w:t xml:space="preserve"> </w:t>
            </w:r>
            <w:r>
              <w:rPr>
                <w:rFonts w:hint="eastAsia"/>
                <w:szCs w:val="21"/>
              </w:rPr>
              <w:t>日</w:t>
            </w:r>
            <w:r>
              <w:rPr>
                <w:rFonts w:hint="eastAsia"/>
              </w:rPr>
              <w:t>在现场确认了流程图的准确性。</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22" w:type="dxa"/>
            <w:vMerge w:val="continue"/>
            <w:shd w:val="clear" w:color="auto" w:fill="auto"/>
          </w:tcPr>
          <w:p/>
        </w:tc>
        <w:tc>
          <w:tcPr>
            <w:tcW w:w="996" w:type="dxa"/>
            <w:shd w:val="clear" w:color="auto" w:fill="auto"/>
          </w:tcPr>
          <w:p/>
        </w:tc>
        <w:tc>
          <w:tcPr>
            <w:tcW w:w="745" w:type="dxa"/>
            <w:shd w:val="clear" w:color="auto" w:fill="auto"/>
          </w:tcPr>
          <w:p/>
        </w:tc>
        <w:tc>
          <w:tcPr>
            <w:tcW w:w="9524"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w:t>
            </w:r>
            <w:r>
              <w:rPr>
                <w:rFonts w:hint="eastAsia"/>
                <w:lang w:eastAsia="zh-CN"/>
              </w:rPr>
              <w:t>（</w:t>
            </w:r>
            <w:r>
              <w:rPr>
                <w:rFonts w:hint="eastAsia"/>
                <w:lang w:val="en-US" w:eastAsia="zh-CN"/>
              </w:rPr>
              <w:t>不适用</w:t>
            </w:r>
            <w:r>
              <w:rPr>
                <w:rFonts w:hint="eastAsia"/>
                <w:lang w:eastAsia="zh-CN"/>
              </w:rPr>
              <w:t>）</w:t>
            </w:r>
            <w:r>
              <w:rPr>
                <w:rFonts w:hint="eastAsia"/>
              </w:rPr>
              <w:t>、返工</w:t>
            </w:r>
            <w:r>
              <w:rPr>
                <w:rFonts w:hint="eastAsia"/>
                <w:lang w:eastAsia="zh-CN"/>
              </w:rPr>
              <w:t>（</w:t>
            </w:r>
            <w:r>
              <w:rPr>
                <w:rFonts w:hint="eastAsia"/>
                <w:lang w:val="en-US" w:eastAsia="zh-CN"/>
              </w:rPr>
              <w:t>不适用</w:t>
            </w:r>
            <w:r>
              <w:rPr>
                <w:rFonts w:hint="eastAsia"/>
                <w:lang w:eastAsia="zh-CN"/>
              </w:rPr>
              <w:t>）</w:t>
            </w:r>
            <w:r>
              <w:rPr>
                <w:rFonts w:hint="eastAsia"/>
              </w:rPr>
              <w:t>、物料进入、废料排出、外包</w:t>
            </w:r>
            <w:r>
              <w:rPr>
                <w:rFonts w:hint="eastAsia"/>
                <w:lang w:eastAsia="zh-CN"/>
              </w:rPr>
              <w:t>（</w:t>
            </w:r>
            <w:r>
              <w:rPr>
                <w:rFonts w:hint="eastAsia"/>
                <w:lang w:val="en-US" w:eastAsia="zh-CN"/>
              </w:rPr>
              <w:t>不适用</w:t>
            </w:r>
            <w:r>
              <w:rPr>
                <w:rFonts w:hint="eastAsia"/>
                <w:lang w:eastAsia="zh-CN"/>
              </w:rPr>
              <w:t>）</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rFonts w:hint="eastAsia"/>
                <w:u w:val="single"/>
                <w:lang w:val="en-US" w:eastAsia="zh-CN"/>
              </w:rPr>
              <w:t xml:space="preserve"> </w:t>
            </w:r>
            <w:r>
              <w:rPr>
                <w:rFonts w:hint="eastAsia"/>
                <w:u w:val="single"/>
              </w:rPr>
              <w:t xml:space="preserve">    </w:t>
            </w:r>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危害分析</w:t>
            </w:r>
          </w:p>
        </w:tc>
        <w:tc>
          <w:tcPr>
            <w:tcW w:w="996" w:type="dxa"/>
            <w:vMerge w:val="restart"/>
            <w:shd w:val="clear" w:color="auto" w:fill="auto"/>
          </w:tcPr>
          <w:p>
            <w:r>
              <w:rPr>
                <w:rFonts w:hint="eastAsia"/>
              </w:rPr>
              <w:t>F8.5.2</w:t>
            </w:r>
          </w:p>
          <w:p/>
        </w:tc>
        <w:tc>
          <w:tcPr>
            <w:tcW w:w="745" w:type="dxa"/>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《危害控制计划》</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22"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524" w:type="dxa"/>
            <w:shd w:val="clear" w:color="auto" w:fill="auto"/>
          </w:tcPr>
          <w:p>
            <w:r>
              <w:rPr>
                <w:rFonts w:hint="eastAsia"/>
              </w:rPr>
              <w:t>食品安全小组于</w:t>
            </w:r>
            <w:r>
              <w:rPr>
                <w:rFonts w:hint="eastAsia"/>
                <w:u w:val="single"/>
              </w:rPr>
              <w:t xml:space="preserve">  20</w:t>
            </w:r>
            <w:r>
              <w:rPr>
                <w:u w:val="single"/>
              </w:rPr>
              <w:t>21</w:t>
            </w:r>
            <w:r>
              <w:rPr>
                <w:rFonts w:hint="eastAsia"/>
                <w:u w:val="single"/>
              </w:rPr>
              <w:t xml:space="preserve"> </w:t>
            </w:r>
            <w:r>
              <w:rPr>
                <w:rFonts w:hint="eastAsia"/>
              </w:rPr>
              <w:t>年</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8</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r>
              <w:rPr>
                <w:rFonts w:hint="eastAsia"/>
              </w:rPr>
              <w:t>生物危害：</w:t>
            </w:r>
            <w:r>
              <w:rPr>
                <w:rFonts w:hint="eastAsia"/>
              </w:rPr>
              <w:sym w:font="Wingdings" w:char="00A8"/>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324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71" w:type="dxa"/>
                  <w:shd w:val="clear" w:color="auto" w:fill="auto"/>
                </w:tcPr>
                <w:p>
                  <w:pPr>
                    <w:jc w:val="center"/>
                    <w:rPr>
                      <w:bCs/>
                    </w:rPr>
                  </w:pPr>
                  <w:r>
                    <w:rPr>
                      <w:rFonts w:hint="eastAsia"/>
                      <w:bCs/>
                    </w:rPr>
                    <w:t>主要原料名称</w:t>
                  </w:r>
                </w:p>
              </w:tc>
              <w:tc>
                <w:tcPr>
                  <w:tcW w:w="3240" w:type="dxa"/>
                  <w:shd w:val="clear" w:color="auto" w:fill="auto"/>
                </w:tcPr>
                <w:p>
                  <w:pPr>
                    <w:jc w:val="center"/>
                    <w:rPr>
                      <w:bCs/>
                    </w:rPr>
                  </w:pPr>
                  <w:r>
                    <w:rPr>
                      <w:rFonts w:hint="eastAsia"/>
                      <w:bCs/>
                    </w:rPr>
                    <w:t>潜在危害</w:t>
                  </w:r>
                </w:p>
              </w:tc>
              <w:tc>
                <w:tcPr>
                  <w:tcW w:w="2675"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771"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鲜活水产品（草鱼、基围虾、牛蛙、石斑鱼、银鳕鱼、鲈鱼、鳜鱼、甲鱼、带鱼、多宝鱼、偏口鱼、鲤鱼、黑鱼、鳝鱼、白鳝、东星斑、鲫鱼、膏蟹、肉蟹、青蟹、珍宝蟹等）</w:t>
                  </w:r>
                </w:p>
              </w:tc>
              <w:tc>
                <w:tcPr>
                  <w:tcW w:w="3240"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2675" w:type="dxa"/>
                  <w:shd w:val="clear" w:color="auto" w:fill="auto"/>
                </w:tcPr>
                <w:p>
                  <w:pPr>
                    <w:autoSpaceDE w:val="0"/>
                    <w:autoSpaceDN w:val="0"/>
                    <w:adjustRightInd w:val="0"/>
                    <w:jc w:val="left"/>
                    <w:rPr>
                      <w:rFonts w:hint="eastAsia" w:eastAsia="宋体"/>
                      <w:bCs/>
                      <w:lang w:eastAsia="zh-CN"/>
                    </w:rPr>
                  </w:pPr>
                  <w:r>
                    <w:rPr>
                      <w:rFonts w:hint="eastAsia"/>
                    </w:rPr>
                    <w:sym w:font="Wingdings" w:char="00FE"/>
                  </w:r>
                  <w:r>
                    <w:rPr>
                      <w:rFonts w:hint="eastAsia"/>
                      <w:bCs/>
                    </w:rPr>
                    <w:t>向供方索取检测报告</w:t>
                  </w:r>
                  <w:r>
                    <w:rPr>
                      <w:rFonts w:hint="eastAsia"/>
                      <w:bCs/>
                      <w:lang w:eastAsia="zh-CN"/>
                    </w:rPr>
                    <w:t>（</w:t>
                  </w:r>
                  <w:r>
                    <w:rPr>
                      <w:rFonts w:hint="eastAsia"/>
                      <w:bCs/>
                      <w:lang w:val="en-US" w:eastAsia="zh-CN"/>
                    </w:rPr>
                    <w:t>或自测</w:t>
                  </w:r>
                  <w:r>
                    <w:rPr>
                      <w:rFonts w:hint="eastAsia"/>
                      <w:bCs/>
                      <w:lang w:eastAsia="zh-CN"/>
                    </w:rPr>
                    <w:t>）</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771" w:type="dxa"/>
                  <w:shd w:val="clear" w:color="auto" w:fill="auto"/>
                </w:tcPr>
                <w:p>
                  <w:pPr>
                    <w:autoSpaceDE w:val="0"/>
                    <w:autoSpaceDN w:val="0"/>
                    <w:adjustRightInd w:val="0"/>
                    <w:jc w:val="left"/>
                    <w:rPr>
                      <w:bCs/>
                      <w:lang w:val="en-GB"/>
                    </w:rPr>
                  </w:pPr>
                  <w:r>
                    <w:rPr>
                      <w:rFonts w:hint="eastAsia"/>
                      <w:bCs/>
                      <w:lang w:val="en-GB" w:eastAsia="zh-CN"/>
                    </w:rPr>
                    <w:t>冷冻（乌鱼蛋、黄鱼、鱿鱼、大虾、虾仁、鲜鱿、蛰头、冻雪鱼、黄鱼、蟹黄、蟹腿肉、龙利鱼）</w:t>
                  </w:r>
                </w:p>
              </w:tc>
              <w:tc>
                <w:tcPr>
                  <w:tcW w:w="3240"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2675"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771" w:type="dxa"/>
                  <w:shd w:val="clear" w:color="auto" w:fill="auto"/>
                </w:tcPr>
                <w:p>
                  <w:pPr>
                    <w:autoSpaceDE w:val="0"/>
                    <w:autoSpaceDN w:val="0"/>
                    <w:adjustRightInd w:val="0"/>
                    <w:jc w:val="left"/>
                    <w:rPr>
                      <w:bCs/>
                    </w:rPr>
                  </w:pPr>
                  <w:r>
                    <w:rPr>
                      <w:rFonts w:hint="eastAsia"/>
                      <w:bCs/>
                    </w:rPr>
                    <w:t>水产品干货（螺片、干鱿鱼、小鱼翅、大鱼翅、海参、干鱼肚）</w:t>
                  </w:r>
                </w:p>
              </w:tc>
              <w:tc>
                <w:tcPr>
                  <w:tcW w:w="3240"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2675"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771" w:type="dxa"/>
                  <w:shd w:val="clear" w:color="auto" w:fill="auto"/>
                </w:tcPr>
                <w:p>
                  <w:pPr>
                    <w:autoSpaceDE w:val="0"/>
                    <w:autoSpaceDN w:val="0"/>
                    <w:adjustRightInd w:val="0"/>
                    <w:jc w:val="left"/>
                    <w:rPr>
                      <w:bCs/>
                      <w:lang w:val="en-GB"/>
                    </w:rPr>
                  </w:pPr>
                  <w:r>
                    <w:rPr>
                      <w:rFonts w:hint="eastAsia"/>
                      <w:bCs/>
                    </w:rPr>
                    <w:t>水</w:t>
                  </w:r>
                </w:p>
              </w:tc>
              <w:tc>
                <w:tcPr>
                  <w:tcW w:w="3240"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75"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ind w:left="0" w:leftChars="0" w:firstLine="0" w:firstLineChars="0"/>
                    <w:rPr>
                      <w:rFonts w:hint="default" w:eastAsia="宋体"/>
                      <w:lang w:val="en-US" w:eastAsia="zh-CN"/>
                    </w:rPr>
                  </w:pPr>
                  <w:r>
                    <w:rPr>
                      <w:rFonts w:hint="eastAsia"/>
                    </w:rPr>
                    <w:sym w:font="Wingdings" w:char="00FE"/>
                  </w:r>
                  <w:r>
                    <w:rPr>
                      <w:rFonts w:hint="eastAsia"/>
                      <w:bCs/>
                      <w:lang w:val="en-US" w:eastAsia="zh-CN"/>
                    </w:rPr>
                    <w:t>水质管网监测报告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771" w:type="dxa"/>
                  <w:shd w:val="clear" w:color="auto" w:fill="auto"/>
                </w:tcPr>
                <w:p>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塑料盒、塑料袋、塑料筐 等包装</w:t>
                  </w:r>
                </w:p>
                <w:p>
                  <w:pPr>
                    <w:spacing w:before="156" w:beforeLines="50" w:line="280" w:lineRule="exact"/>
                    <w:rPr>
                      <w:rFonts w:ascii="宋体" w:hAnsi="宋体"/>
                      <w:szCs w:val="21"/>
                    </w:rPr>
                  </w:pPr>
                </w:p>
              </w:tc>
              <w:tc>
                <w:tcPr>
                  <w:tcW w:w="3240"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75"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2"/>
                    <w:ind w:left="0" w:leftChars="0" w:firstLine="0" w:firstLineChars="0"/>
                    <w:rPr>
                      <w:rFonts w:hint="default" w:eastAsia="宋体"/>
                      <w:lang w:val="en-US" w:eastAsia="zh-CN"/>
                    </w:rPr>
                  </w:pPr>
                  <w:r>
                    <w:rPr>
                      <w:rFonts w:hint="eastAsia"/>
                      <w:bCs/>
                    </w:rPr>
                    <w:sym w:font="Wingdings" w:char="00FE"/>
                  </w:r>
                  <w:r>
                    <w:rPr>
                      <w:rFonts w:hint="eastAsia"/>
                      <w:bCs/>
                      <w:lang w:val="en-US" w:eastAsia="zh-CN"/>
                    </w:rPr>
                    <w:t>自行清洗，定期消毒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771" w:type="dxa"/>
                  <w:shd w:val="clear" w:color="auto" w:fill="auto"/>
                </w:tcPr>
                <w:p>
                  <w:pPr>
                    <w:autoSpaceDE w:val="0"/>
                    <w:autoSpaceDN w:val="0"/>
                    <w:adjustRightInd w:val="0"/>
                    <w:jc w:val="left"/>
                    <w:rPr>
                      <w:rFonts w:asciiTheme="minorEastAsia" w:hAnsiTheme="minorEastAsia" w:eastAsiaTheme="minorEastAsia"/>
                      <w:sz w:val="24"/>
                      <w:szCs w:val="24"/>
                    </w:rPr>
                  </w:pPr>
                  <w:r>
                    <w:rPr>
                      <w:rFonts w:hint="eastAsia" w:asciiTheme="minorEastAsia" w:hAnsiTheme="minorEastAsia" w:eastAsiaTheme="minorEastAsia"/>
                    </w:rPr>
                    <w:t>化学清洗剂、消毒剂</w:t>
                  </w:r>
                </w:p>
              </w:tc>
              <w:tc>
                <w:tcPr>
                  <w:tcW w:w="3240"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2675"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eastAsia"/>
                      <w:bCs/>
                      <w:lang w:val="en-US" w:eastAsia="zh-CN"/>
                    </w:rPr>
                    <w:t>鲜活水产品</w:t>
                  </w: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FE"/>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eastAsia"/>
                      <w:bCs/>
                      <w:lang w:val="en-US" w:eastAsia="zh-CN"/>
                    </w:rPr>
                    <w:t>冷冻水产品</w:t>
                  </w: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p>
                  <w:pPr>
                    <w:rPr>
                      <w:bCs/>
                      <w:lang w:val="en-GB"/>
                    </w:rPr>
                  </w:pP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r>
                    <w:rPr>
                      <w:rFonts w:hint="eastAsia"/>
                      <w:bCs/>
                    </w:rPr>
                    <w:t>水产品干货</w:t>
                  </w: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p>
                  <w:pPr>
                    <w:rPr>
                      <w:bCs/>
                    </w:rPr>
                  </w:pP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pPr>
              <w:rPr>
                <w:rFonts w:hint="eastAsia" w:eastAsia="宋体"/>
                <w:lang w:eastAsia="zh-CN"/>
              </w:rPr>
            </w:pPr>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A8"/>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r>
              <w:rPr>
                <w:rFonts w:hint="eastAsia"/>
                <w:lang w:val="en-US" w:eastAsia="zh-CN"/>
              </w:rPr>
              <w:t xml:space="preserve">  </w:t>
            </w:r>
          </w:p>
          <w:p/>
          <w:p>
            <w:r>
              <w:rPr>
                <w:rFonts w:hint="eastAsia"/>
              </w:rPr>
              <w:t>过程中增加和持续的危害：</w:t>
            </w:r>
          </w:p>
          <w:p>
            <w:pPr>
              <w:rPr>
                <w:u w:val="single"/>
              </w:rPr>
            </w:pPr>
            <w:r>
              <w:rPr>
                <w:rFonts w:hint="eastAsia"/>
              </w:rPr>
              <w:sym w:font="Wingdings" w:char="00A8"/>
            </w:r>
            <w:r>
              <w:rPr>
                <w:rFonts w:hint="eastAsia"/>
              </w:rPr>
              <w:t>加工过程：</w:t>
            </w:r>
            <w:r>
              <w:rPr>
                <w:rFonts w:hint="eastAsia"/>
                <w:u w:val="single"/>
              </w:rPr>
              <w:t xml:space="preserve">    </w:t>
            </w:r>
            <w:r>
              <w:rPr>
                <w:rFonts w:hint="eastAsia"/>
                <w:u w:val="single"/>
                <w:lang w:eastAsia="zh-CN"/>
              </w:rPr>
              <w:t>——</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温度控制不当，导致腐败</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r>
              <w:rPr>
                <w:rFonts w:hint="eastAsia"/>
                <w:u w:val="single"/>
                <w:lang w:eastAsia="zh-CN"/>
              </w:rPr>
              <w:t>——</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sym w:font="Wingdings" w:char="00FE"/>
            </w:r>
            <w:r>
              <w:rPr>
                <w:rFonts w:hint="eastAsia"/>
              </w:rPr>
              <w:t>运输过程：</w:t>
            </w:r>
            <w:r>
              <w:rPr>
                <w:rFonts w:hint="eastAsia"/>
                <w:u w:val="single"/>
              </w:rPr>
              <w:t xml:space="preserve">    </w:t>
            </w:r>
            <w:r>
              <w:rPr>
                <w:rFonts w:hint="eastAsia"/>
                <w:u w:val="single"/>
                <w:lang w:val="en-US" w:eastAsia="zh-CN"/>
              </w:rPr>
              <w:t>温度控制不当，导致腐败</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78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rPr>
                    <w:t>控制点示例</w:t>
                  </w:r>
                </w:p>
              </w:tc>
              <w:tc>
                <w:tcPr>
                  <w:tcW w:w="3787"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eastAsia"/>
                      <w:bCs/>
                      <w:lang w:val="en-US" w:eastAsia="zh-CN"/>
                    </w:rPr>
                    <w:t>冷冻水产品、鲜活水产类</w:t>
                  </w:r>
                </w:p>
              </w:tc>
              <w:tc>
                <w:tcPr>
                  <w:tcW w:w="3787" w:type="dxa"/>
                  <w:shd w:val="clear" w:color="auto" w:fill="auto"/>
                  <w:vAlign w:val="center"/>
                </w:tcPr>
                <w:p>
                  <w:pPr>
                    <w:rPr>
                      <w:rFonts w:hint="default" w:eastAsia="宋体"/>
                      <w:bCs/>
                      <w:lang w:val="en-US" w:eastAsia="zh-CN"/>
                    </w:rPr>
                  </w:pPr>
                  <w:r>
                    <w:rPr>
                      <w:rFonts w:hint="eastAsia"/>
                      <w:bCs/>
                      <w:lang w:val="en-US" w:eastAsia="zh-CN"/>
                    </w:rPr>
                    <w:t>符合GB2762、GB31650标准的要求</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p>
              </w:tc>
              <w:tc>
                <w:tcPr>
                  <w:tcW w:w="3787" w:type="dxa"/>
                  <w:shd w:val="clear" w:color="auto" w:fill="auto"/>
                  <w:vAlign w:val="center"/>
                </w:tcPr>
                <w:p>
                  <w:pPr>
                    <w:rPr>
                      <w:bCs/>
                    </w:rPr>
                  </w:pPr>
                </w:p>
              </w:tc>
              <w:tc>
                <w:tcPr>
                  <w:tcW w:w="2751" w:type="dxa"/>
                  <w:shd w:val="clear" w:color="auto" w:fill="auto"/>
                  <w:vAlign w:val="bottom"/>
                </w:tcPr>
                <w:p>
                  <w:r>
                    <w:rPr>
                      <w:rFonts w:hint="eastAsia"/>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78" w:type="dxa"/>
                  <w:shd w:val="clear" w:color="auto" w:fill="auto"/>
                  <w:vAlign w:val="center"/>
                </w:tcPr>
                <w:p>
                  <w:pPr>
                    <w:jc w:val="left"/>
                    <w:rPr>
                      <w:bCs/>
                    </w:rPr>
                  </w:pPr>
                </w:p>
              </w:tc>
              <w:tc>
                <w:tcPr>
                  <w:tcW w:w="3787" w:type="dxa"/>
                  <w:shd w:val="clear" w:color="auto" w:fill="auto"/>
                  <w:vAlign w:val="center"/>
                </w:tcPr>
                <w:p>
                  <w:pPr>
                    <w:rPr>
                      <w:bCs/>
                    </w:rPr>
                  </w:pPr>
                </w:p>
              </w:tc>
              <w:tc>
                <w:tcPr>
                  <w:tcW w:w="2751" w:type="dxa"/>
                  <w:shd w:val="clear" w:color="auto" w:fill="auto"/>
                  <w:vAlign w:val="bottom"/>
                </w:tcPr>
                <w:p>
                  <w:pPr>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p>
              </w:tc>
              <w:tc>
                <w:tcPr>
                  <w:tcW w:w="3787" w:type="dxa"/>
                  <w:shd w:val="clear" w:color="auto" w:fill="auto"/>
                  <w:vAlign w:val="center"/>
                </w:tcPr>
                <w:p>
                  <w:pPr>
                    <w:rPr>
                      <w:bCs/>
                    </w:rPr>
                  </w:pPr>
                </w:p>
              </w:tc>
              <w:tc>
                <w:tcPr>
                  <w:tcW w:w="2751" w:type="dxa"/>
                  <w:shd w:val="clear" w:color="auto" w:fill="auto"/>
                  <w:vAlign w:val="bottom"/>
                </w:tcPr>
                <w:p>
                  <w:pPr>
                    <w:rPr>
                      <w:bCs/>
                    </w:rPr>
                  </w:pP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FE"/>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2" w:type="dxa"/>
            <w:shd w:val="clear" w:color="auto" w:fill="auto"/>
          </w:tcPr>
          <w:p>
            <w:r>
              <w:rPr>
                <w:rFonts w:hint="eastAsia"/>
              </w:rPr>
              <w:t>控制措施组合的确认</w:t>
            </w:r>
          </w:p>
          <w:p/>
        </w:tc>
        <w:tc>
          <w:tcPr>
            <w:tcW w:w="996" w:type="dxa"/>
            <w:shd w:val="clear" w:color="auto" w:fill="auto"/>
          </w:tcPr>
          <w:p>
            <w:r>
              <w:rPr>
                <w:rFonts w:hint="eastAsia"/>
              </w:rPr>
              <w:t>F8.5.3</w:t>
            </w:r>
          </w:p>
        </w:tc>
        <w:tc>
          <w:tcPr>
            <w:tcW w:w="745" w:type="dxa"/>
            <w:shd w:val="clear" w:color="auto" w:fill="auto"/>
          </w:tcPr>
          <w:p>
            <w:r>
              <w:rPr>
                <w:rFonts w:hint="eastAsia"/>
              </w:rPr>
              <w:t>运行证据</w:t>
            </w:r>
          </w:p>
        </w:tc>
        <w:tc>
          <w:tcPr>
            <w:tcW w:w="9524" w:type="dxa"/>
            <w:shd w:val="clear" w:color="auto" w:fill="auto"/>
          </w:tcPr>
          <w:p>
            <w:r>
              <w:rPr>
                <w:rFonts w:hint="eastAsia"/>
              </w:rPr>
              <w:t>组织就OPRP与CCP的组合能够防止、消除或将成品中食品安全危害减少到可接受水平进行了确认。</w:t>
            </w:r>
          </w:p>
          <w:p>
            <w:pPr>
              <w:rPr>
                <w:rFonts w:hint="eastAsia"/>
                <w:u w:val="single"/>
              </w:rPr>
            </w:pPr>
            <w:r>
              <w:rPr>
                <w:rFonts w:hint="eastAsia"/>
              </w:rPr>
              <w:t>抽取成品型式检验相关记录名称：</w:t>
            </w:r>
            <w:r>
              <w:rPr>
                <w:rFonts w:hint="eastAsia"/>
                <w:u w:val="single"/>
              </w:rPr>
              <w:t>《  检验检测报告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310"/>
              <w:gridCol w:w="1370"/>
              <w:gridCol w:w="1640"/>
              <w:gridCol w:w="12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r>
                    <w:rPr>
                      <w:rFonts w:hint="eastAsia"/>
                    </w:rPr>
                    <w:t>日期</w:t>
                  </w:r>
                </w:p>
              </w:tc>
              <w:tc>
                <w:tcPr>
                  <w:tcW w:w="1310" w:type="dxa"/>
                </w:tcPr>
                <w:p>
                  <w:r>
                    <w:rPr>
                      <w:rFonts w:hint="eastAsia"/>
                    </w:rPr>
                    <w:t>样品名称/批次</w:t>
                  </w:r>
                </w:p>
              </w:tc>
              <w:tc>
                <w:tcPr>
                  <w:tcW w:w="1370" w:type="dxa"/>
                </w:tcPr>
                <w:p>
                  <w:r>
                    <w:rPr>
                      <w:rFonts w:hint="eastAsia"/>
                    </w:rPr>
                    <w:t>送检方式</w:t>
                  </w:r>
                </w:p>
              </w:tc>
              <w:tc>
                <w:tcPr>
                  <w:tcW w:w="1640" w:type="dxa"/>
                </w:tcPr>
                <w:p>
                  <w:r>
                    <w:rPr>
                      <w:rFonts w:hint="eastAsia"/>
                      <w:b/>
                      <w:bCs/>
                    </w:rPr>
                    <w:t>报告编号</w:t>
                  </w:r>
                </w:p>
              </w:tc>
              <w:tc>
                <w:tcPr>
                  <w:tcW w:w="12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11" w:type="dxa"/>
                </w:tcPr>
                <w:p>
                  <w:pPr>
                    <w:rPr>
                      <w:rFonts w:hint="default" w:eastAsia="宋体"/>
                      <w:lang w:val="en-US" w:eastAsia="zh-CN"/>
                    </w:rPr>
                  </w:pPr>
                  <w:r>
                    <w:rPr>
                      <w:rFonts w:hint="eastAsia"/>
                    </w:rPr>
                    <w:t>2</w:t>
                  </w:r>
                  <w:r>
                    <w:t>02</w:t>
                  </w:r>
                  <w:r>
                    <w:rPr>
                      <w:rFonts w:hint="eastAsia"/>
                      <w:lang w:val="en-US" w:eastAsia="zh-CN"/>
                    </w:rPr>
                    <w:t>1</w:t>
                  </w:r>
                  <w:r>
                    <w:t>-</w:t>
                  </w:r>
                  <w:r>
                    <w:rPr>
                      <w:rFonts w:hint="eastAsia"/>
                      <w:lang w:val="en-US" w:eastAsia="zh-CN"/>
                    </w:rPr>
                    <w:t>12-02</w:t>
                  </w:r>
                </w:p>
              </w:tc>
              <w:tc>
                <w:tcPr>
                  <w:tcW w:w="1310" w:type="dxa"/>
                </w:tcPr>
                <w:p>
                  <w:pPr>
                    <w:rPr>
                      <w:rFonts w:hint="default" w:eastAsia="宋体"/>
                      <w:lang w:val="en-US" w:eastAsia="zh-CN"/>
                    </w:rPr>
                  </w:pPr>
                  <w:r>
                    <w:rPr>
                      <w:rFonts w:hint="eastAsia"/>
                      <w:lang w:val="en-US" w:eastAsia="zh-CN"/>
                    </w:rPr>
                    <w:t>明虾（鲜活）</w:t>
                  </w:r>
                </w:p>
              </w:tc>
              <w:tc>
                <w:tcPr>
                  <w:tcW w:w="1370" w:type="dxa"/>
                </w:tcPr>
                <w:p>
                  <w:r>
                    <w:rPr>
                      <w:rFonts w:hint="eastAsia"/>
                    </w:rPr>
                    <w:sym w:font="Wingdings" w:char="00A8"/>
                  </w:r>
                  <w:r>
                    <w:rPr>
                      <w:rFonts w:hint="eastAsia"/>
                    </w:rPr>
                    <w:t>抽检</w:t>
                  </w:r>
                </w:p>
                <w:p>
                  <w:pPr>
                    <w:rPr>
                      <w:rFonts w:hint="eastAsia"/>
                    </w:rPr>
                  </w:pPr>
                  <w:r>
                    <w:rPr>
                      <w:rFonts w:hint="eastAsia"/>
                    </w:rPr>
                    <w:sym w:font="Wingdings" w:char="00FE"/>
                  </w:r>
                  <w:r>
                    <w:rPr>
                      <w:rFonts w:hint="eastAsia"/>
                    </w:rPr>
                    <w:t>送检</w:t>
                  </w:r>
                </w:p>
                <w:p>
                  <w:pPr>
                    <w:pStyle w:val="2"/>
                    <w:ind w:left="0" w:leftChars="0" w:firstLine="0" w:firstLineChars="0"/>
                    <w:rPr>
                      <w:rFonts w:hint="default" w:eastAsia="宋体"/>
                      <w:lang w:val="en-US" w:eastAsia="zh-CN"/>
                    </w:rPr>
                  </w:pPr>
                  <w:r>
                    <w:rPr>
                      <w:rFonts w:hint="eastAsia"/>
                    </w:rPr>
                    <w:sym w:font="Wingdings" w:char="00A8"/>
                  </w:r>
                  <w:r>
                    <w:rPr>
                      <w:rFonts w:hint="eastAsia"/>
                      <w:lang w:val="en-US" w:eastAsia="zh-CN"/>
                    </w:rPr>
                    <w:t>供方提供</w:t>
                  </w:r>
                </w:p>
              </w:tc>
              <w:tc>
                <w:tcPr>
                  <w:tcW w:w="1640" w:type="dxa"/>
                </w:tcPr>
                <w:p>
                  <w:pPr>
                    <w:rPr>
                      <w:rFonts w:hint="default" w:eastAsia="宋体"/>
                      <w:lang w:val="en-US" w:eastAsia="zh-CN"/>
                    </w:rPr>
                  </w:pPr>
                  <w:r>
                    <w:rPr>
                      <w:rFonts w:hint="eastAsia"/>
                      <w:lang w:val="en-US" w:eastAsia="zh-CN"/>
                    </w:rPr>
                    <w:t>GZE201028007</w:t>
                  </w:r>
                </w:p>
              </w:tc>
              <w:tc>
                <w:tcPr>
                  <w:tcW w:w="1266" w:type="dxa"/>
                  <w:vAlign w:val="top"/>
                </w:tcPr>
                <w:p>
                  <w:pPr>
                    <w:rPr>
                      <w:rFonts w:hint="default" w:eastAsia="宋体"/>
                      <w:lang w:val="en-US" w:eastAsia="zh-CN"/>
                    </w:rPr>
                  </w:pPr>
                  <w:r>
                    <w:rPr>
                      <w:rFonts w:hint="eastAsia"/>
                    </w:rPr>
                    <w:t>2</w:t>
                  </w:r>
                  <w:r>
                    <w:t>02</w:t>
                  </w:r>
                  <w:r>
                    <w:rPr>
                      <w:rFonts w:hint="eastAsia"/>
                      <w:lang w:val="en-US" w:eastAsia="zh-CN"/>
                    </w:rPr>
                    <w:t>1</w:t>
                  </w:r>
                  <w:r>
                    <w:t>-</w:t>
                  </w:r>
                  <w:r>
                    <w:rPr>
                      <w:rFonts w:hint="eastAsia"/>
                      <w:lang w:val="en-US" w:eastAsia="zh-CN"/>
                    </w:rPr>
                    <w:t>12-02</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hint="default" w:eastAsia="宋体"/>
                      <w:lang w:val="en-US" w:eastAsia="zh-CN"/>
                    </w:rPr>
                  </w:pPr>
                  <w:r>
                    <w:rPr>
                      <w:rFonts w:hint="eastAsia"/>
                    </w:rPr>
                    <w:t>2</w:t>
                  </w:r>
                  <w:r>
                    <w:t>02</w:t>
                  </w:r>
                  <w:r>
                    <w:rPr>
                      <w:rFonts w:hint="eastAsia"/>
                      <w:lang w:val="en-US" w:eastAsia="zh-CN"/>
                    </w:rPr>
                    <w:t>1</w:t>
                  </w:r>
                  <w:r>
                    <w:t>-0</w:t>
                  </w:r>
                  <w:r>
                    <w:rPr>
                      <w:rFonts w:hint="eastAsia"/>
                      <w:lang w:val="en-US" w:eastAsia="zh-CN"/>
                    </w:rPr>
                    <w:t>4-13</w:t>
                  </w:r>
                </w:p>
              </w:tc>
              <w:tc>
                <w:tcPr>
                  <w:tcW w:w="1310" w:type="dxa"/>
                </w:tcPr>
                <w:p>
                  <w:pPr>
                    <w:rPr>
                      <w:rFonts w:hint="default" w:eastAsia="宋体"/>
                      <w:lang w:val="en-US" w:eastAsia="zh-CN"/>
                    </w:rPr>
                  </w:pPr>
                  <w:r>
                    <w:rPr>
                      <w:rFonts w:hint="eastAsia"/>
                      <w:lang w:val="en-US" w:eastAsia="zh-CN"/>
                    </w:rPr>
                    <w:t>冻格陵兰庸鲽鱼身</w:t>
                  </w:r>
                </w:p>
              </w:tc>
              <w:tc>
                <w:tcPr>
                  <w:tcW w:w="1370" w:type="dxa"/>
                </w:tcPr>
                <w:p>
                  <w:r>
                    <w:rPr>
                      <w:rFonts w:hint="eastAsia"/>
                    </w:rPr>
                    <w:sym w:font="Wingdings" w:char="00A8"/>
                  </w:r>
                  <w:r>
                    <w:rPr>
                      <w:rFonts w:hint="eastAsia"/>
                    </w:rPr>
                    <w:t>抽检</w:t>
                  </w:r>
                </w:p>
                <w:p>
                  <w:pPr>
                    <w:rPr>
                      <w:rFonts w:hint="eastAsia"/>
                    </w:rPr>
                  </w:pPr>
                  <w:r>
                    <w:rPr>
                      <w:rFonts w:hint="eastAsia"/>
                    </w:rPr>
                    <w:sym w:font="Wingdings" w:char="00A8"/>
                  </w:r>
                  <w:r>
                    <w:rPr>
                      <w:rFonts w:hint="eastAsia"/>
                    </w:rPr>
                    <w:t>送检</w:t>
                  </w:r>
                </w:p>
                <w:p>
                  <w:r>
                    <w:rPr>
                      <w:rFonts w:hint="eastAsia"/>
                    </w:rPr>
                    <w:sym w:font="Wingdings" w:char="00FE"/>
                  </w:r>
                  <w:r>
                    <w:rPr>
                      <w:rFonts w:hint="eastAsia"/>
                      <w:lang w:val="en-US" w:eastAsia="zh-CN"/>
                    </w:rPr>
                    <w:t>供方提供</w:t>
                  </w:r>
                </w:p>
              </w:tc>
              <w:tc>
                <w:tcPr>
                  <w:tcW w:w="1640" w:type="dxa"/>
                </w:tcPr>
                <w:p>
                  <w:pPr>
                    <w:rPr>
                      <w:rFonts w:hint="default" w:eastAsia="宋体"/>
                      <w:lang w:val="en-US" w:eastAsia="zh-CN"/>
                    </w:rPr>
                  </w:pPr>
                  <w:r>
                    <w:rPr>
                      <w:rFonts w:hint="eastAsia"/>
                      <w:lang w:val="en-US" w:eastAsia="zh-CN"/>
                    </w:rPr>
                    <w:t>FRK202104792</w:t>
                  </w:r>
                </w:p>
              </w:tc>
              <w:tc>
                <w:tcPr>
                  <w:tcW w:w="1266" w:type="dxa"/>
                  <w:vAlign w:val="top"/>
                </w:tcPr>
                <w:p>
                  <w:r>
                    <w:rPr>
                      <w:rFonts w:hint="eastAsia"/>
                    </w:rPr>
                    <w:t>2</w:t>
                  </w:r>
                  <w:r>
                    <w:t>02</w:t>
                  </w:r>
                  <w:r>
                    <w:rPr>
                      <w:rFonts w:hint="eastAsia"/>
                      <w:lang w:val="en-US" w:eastAsia="zh-CN"/>
                    </w:rPr>
                    <w:t>1</w:t>
                  </w:r>
                  <w:r>
                    <w:t>-0</w:t>
                  </w:r>
                  <w:r>
                    <w:rPr>
                      <w:rFonts w:hint="eastAsia"/>
                      <w:lang w:val="en-US" w:eastAsia="zh-CN"/>
                    </w:rPr>
                    <w:t>4-13</w:t>
                  </w:r>
                </w:p>
              </w:tc>
              <w:tc>
                <w:tcPr>
                  <w:tcW w:w="2046" w:type="dxa"/>
                </w:tcPr>
                <w:p>
                  <w:r>
                    <w:rPr>
                      <w:rFonts w:hint="eastAsia"/>
                    </w:rPr>
                    <w:sym w:font="Wingdings" w:char="00FE"/>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hint="default" w:eastAsia="宋体"/>
                      <w:lang w:val="en-US" w:eastAsia="zh-CN"/>
                    </w:rPr>
                  </w:pPr>
                  <w:r>
                    <w:rPr>
                      <w:rFonts w:hint="eastAsia"/>
                    </w:rPr>
                    <w:t>2</w:t>
                  </w:r>
                  <w:r>
                    <w:t>02</w:t>
                  </w:r>
                  <w:r>
                    <w:rPr>
                      <w:rFonts w:hint="eastAsia"/>
                      <w:lang w:val="en-US" w:eastAsia="zh-CN"/>
                    </w:rPr>
                    <w:t>1</w:t>
                  </w:r>
                  <w:r>
                    <w:t>-</w:t>
                  </w:r>
                  <w:r>
                    <w:rPr>
                      <w:rFonts w:hint="eastAsia"/>
                      <w:lang w:val="en-US" w:eastAsia="zh-CN"/>
                    </w:rPr>
                    <w:t>12-02</w:t>
                  </w:r>
                </w:p>
              </w:tc>
              <w:tc>
                <w:tcPr>
                  <w:tcW w:w="1310" w:type="dxa"/>
                </w:tcPr>
                <w:p>
                  <w:pPr>
                    <w:rPr>
                      <w:rFonts w:hint="default" w:eastAsia="宋体"/>
                      <w:lang w:val="en-US" w:eastAsia="zh-CN"/>
                    </w:rPr>
                  </w:pPr>
                  <w:r>
                    <w:rPr>
                      <w:rFonts w:hint="eastAsia"/>
                      <w:lang w:val="en-US" w:eastAsia="zh-CN"/>
                    </w:rPr>
                    <w:t>鲜活（草鱼</w:t>
                  </w:r>
                </w:p>
              </w:tc>
              <w:tc>
                <w:tcPr>
                  <w:tcW w:w="1370" w:type="dxa"/>
                </w:tcPr>
                <w:p>
                  <w:r>
                    <w:rPr>
                      <w:rFonts w:hint="eastAsia"/>
                    </w:rPr>
                    <w:sym w:font="Wingdings" w:char="00A8"/>
                  </w:r>
                  <w:r>
                    <w:rPr>
                      <w:rFonts w:hint="eastAsia"/>
                    </w:rPr>
                    <w:t>抽检</w:t>
                  </w:r>
                </w:p>
                <w:p>
                  <w:pPr>
                    <w:rPr>
                      <w:rFonts w:hint="eastAsia"/>
                    </w:rPr>
                  </w:pPr>
                  <w:r>
                    <w:rPr>
                      <w:rFonts w:hint="eastAsia"/>
                    </w:rPr>
                    <w:sym w:font="Wingdings" w:char="00FE"/>
                  </w:r>
                  <w:r>
                    <w:rPr>
                      <w:rFonts w:hint="eastAsia"/>
                    </w:rPr>
                    <w:t>送检</w:t>
                  </w:r>
                </w:p>
                <w:p>
                  <w:pPr>
                    <w:pStyle w:val="2"/>
                    <w:ind w:left="0" w:leftChars="0" w:firstLine="0" w:firstLineChars="0"/>
                  </w:pPr>
                  <w:r>
                    <w:rPr>
                      <w:rFonts w:hint="eastAsia"/>
                    </w:rPr>
                    <w:sym w:font="Wingdings" w:char="00A8"/>
                  </w:r>
                  <w:r>
                    <w:rPr>
                      <w:rFonts w:hint="eastAsia"/>
                      <w:lang w:val="en-US" w:eastAsia="zh-CN"/>
                    </w:rPr>
                    <w:t>供方提供</w:t>
                  </w:r>
                </w:p>
              </w:tc>
              <w:tc>
                <w:tcPr>
                  <w:tcW w:w="1640" w:type="dxa"/>
                </w:tcPr>
                <w:p>
                  <w:r>
                    <w:rPr>
                      <w:rFonts w:hint="eastAsia"/>
                      <w:lang w:val="en-US" w:eastAsia="zh-CN"/>
                    </w:rPr>
                    <w:t>GZE201028009</w:t>
                  </w:r>
                </w:p>
              </w:tc>
              <w:tc>
                <w:tcPr>
                  <w:tcW w:w="1266" w:type="dxa"/>
                  <w:vAlign w:val="top"/>
                </w:tcPr>
                <w:p>
                  <w:r>
                    <w:rPr>
                      <w:rFonts w:hint="eastAsia"/>
                    </w:rPr>
                    <w:t>2</w:t>
                  </w:r>
                  <w:r>
                    <w:t>02</w:t>
                  </w:r>
                  <w:r>
                    <w:rPr>
                      <w:rFonts w:hint="eastAsia"/>
                      <w:lang w:val="en-US" w:eastAsia="zh-CN"/>
                    </w:rPr>
                    <w:t>1</w:t>
                  </w:r>
                  <w:r>
                    <w:t>-</w:t>
                  </w:r>
                  <w:r>
                    <w:rPr>
                      <w:rFonts w:hint="eastAsia"/>
                      <w:lang w:val="en-US" w:eastAsia="zh-CN"/>
                    </w:rPr>
                    <w:t>12-02</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hint="default" w:eastAsia="宋体"/>
                      <w:lang w:val="en-US" w:eastAsia="zh-CN"/>
                    </w:rPr>
                  </w:pPr>
                  <w:r>
                    <w:rPr>
                      <w:rFonts w:hint="eastAsia"/>
                    </w:rPr>
                    <w:t>2</w:t>
                  </w:r>
                  <w:r>
                    <w:t>02</w:t>
                  </w:r>
                  <w:r>
                    <w:rPr>
                      <w:rFonts w:hint="eastAsia"/>
                      <w:lang w:val="en-US" w:eastAsia="zh-CN"/>
                    </w:rPr>
                    <w:t>1</w:t>
                  </w:r>
                  <w:r>
                    <w:t>-</w:t>
                  </w:r>
                  <w:r>
                    <w:rPr>
                      <w:rFonts w:hint="eastAsia"/>
                      <w:lang w:val="en-US" w:eastAsia="zh-CN"/>
                    </w:rPr>
                    <w:t>04-26</w:t>
                  </w:r>
                </w:p>
              </w:tc>
              <w:tc>
                <w:tcPr>
                  <w:tcW w:w="1310" w:type="dxa"/>
                </w:tcPr>
                <w:p>
                  <w:pPr>
                    <w:rPr>
                      <w:rFonts w:hint="default" w:eastAsia="宋体"/>
                      <w:lang w:val="en-US" w:eastAsia="zh-CN"/>
                    </w:rPr>
                  </w:pPr>
                  <w:r>
                    <w:rPr>
                      <w:rFonts w:hint="eastAsia"/>
                      <w:lang w:val="en-US" w:eastAsia="zh-CN"/>
                    </w:rPr>
                    <w:t>冻金枪鱼</w:t>
                  </w:r>
                </w:p>
              </w:tc>
              <w:tc>
                <w:tcPr>
                  <w:tcW w:w="1370" w:type="dxa"/>
                </w:tcPr>
                <w:p>
                  <w:r>
                    <w:rPr>
                      <w:rFonts w:hint="eastAsia"/>
                    </w:rPr>
                    <w:sym w:font="Wingdings" w:char="00A8"/>
                  </w:r>
                  <w:r>
                    <w:rPr>
                      <w:rFonts w:hint="eastAsia"/>
                    </w:rPr>
                    <w:t>抽检</w:t>
                  </w:r>
                </w:p>
                <w:p>
                  <w:pPr>
                    <w:rPr>
                      <w:rFonts w:hint="eastAsia"/>
                    </w:rPr>
                  </w:pPr>
                  <w:r>
                    <w:rPr>
                      <w:rFonts w:hint="eastAsia"/>
                    </w:rPr>
                    <w:sym w:font="Wingdings" w:char="00A8"/>
                  </w:r>
                  <w:r>
                    <w:rPr>
                      <w:rFonts w:hint="eastAsia"/>
                    </w:rPr>
                    <w:t>送检</w:t>
                  </w:r>
                </w:p>
                <w:p>
                  <w:pPr>
                    <w:pStyle w:val="2"/>
                    <w:ind w:left="0" w:leftChars="0" w:firstLine="0" w:firstLineChars="0"/>
                  </w:pPr>
                  <w:r>
                    <w:rPr>
                      <w:rFonts w:hint="eastAsia"/>
                    </w:rPr>
                    <w:sym w:font="Wingdings" w:char="00FE"/>
                  </w:r>
                  <w:r>
                    <w:rPr>
                      <w:rFonts w:hint="eastAsia"/>
                      <w:lang w:val="en-US" w:eastAsia="zh-CN"/>
                    </w:rPr>
                    <w:t>供方提供</w:t>
                  </w:r>
                </w:p>
              </w:tc>
              <w:tc>
                <w:tcPr>
                  <w:tcW w:w="1640" w:type="dxa"/>
                </w:tcPr>
                <w:p>
                  <w:r>
                    <w:rPr>
                      <w:rFonts w:hint="eastAsia"/>
                    </w:rPr>
                    <w:t>A2210140799101003CR1</w:t>
                  </w:r>
                </w:p>
              </w:tc>
              <w:tc>
                <w:tcPr>
                  <w:tcW w:w="1266" w:type="dxa"/>
                  <w:vAlign w:val="top"/>
                </w:tcPr>
                <w:p>
                  <w:pPr>
                    <w:rPr>
                      <w:rFonts w:hint="default" w:eastAsia="宋体"/>
                      <w:lang w:val="en-US" w:eastAsia="zh-CN"/>
                    </w:rPr>
                  </w:pPr>
                  <w:r>
                    <w:rPr>
                      <w:rFonts w:hint="eastAsia"/>
                    </w:rPr>
                    <w:t>2</w:t>
                  </w:r>
                  <w:r>
                    <w:t>02</w:t>
                  </w:r>
                  <w:r>
                    <w:rPr>
                      <w:rFonts w:hint="eastAsia"/>
                      <w:lang w:val="en-US" w:eastAsia="zh-CN"/>
                    </w:rPr>
                    <w:t>1</w:t>
                  </w:r>
                  <w:r>
                    <w:t>-</w:t>
                  </w:r>
                  <w:r>
                    <w:rPr>
                      <w:rFonts w:hint="eastAsia"/>
                      <w:lang w:val="en-US" w:eastAsia="zh-CN"/>
                    </w:rPr>
                    <w:t>04-26</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tc>
              <w:tc>
                <w:tcPr>
                  <w:tcW w:w="1310" w:type="dxa"/>
                </w:tcPr>
                <w:p/>
              </w:tc>
              <w:tc>
                <w:tcPr>
                  <w:tcW w:w="1370" w:type="dxa"/>
                </w:tcPr>
                <w:p>
                  <w:pPr>
                    <w:pStyle w:val="2"/>
                    <w:ind w:left="0" w:leftChars="0" w:firstLine="0" w:firstLineChars="0"/>
                  </w:pPr>
                </w:p>
              </w:tc>
              <w:tc>
                <w:tcPr>
                  <w:tcW w:w="1640" w:type="dxa"/>
                </w:tcPr>
                <w:p/>
              </w:tc>
              <w:tc>
                <w:tcPr>
                  <w:tcW w:w="1266" w:type="dxa"/>
                  <w:vAlign w:val="top"/>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hint="default" w:eastAsia="宋体"/>
                      <w:lang w:val="en-US" w:eastAsia="zh-CN"/>
                    </w:rPr>
                  </w:pPr>
                </w:p>
              </w:tc>
              <w:tc>
                <w:tcPr>
                  <w:tcW w:w="1310" w:type="dxa"/>
                </w:tcPr>
                <w:p/>
              </w:tc>
              <w:tc>
                <w:tcPr>
                  <w:tcW w:w="1370" w:type="dxa"/>
                </w:tcPr>
                <w:p>
                  <w:pPr>
                    <w:pStyle w:val="2"/>
                    <w:ind w:left="0" w:leftChars="0" w:firstLine="0" w:firstLineChars="0"/>
                  </w:pPr>
                </w:p>
              </w:tc>
              <w:tc>
                <w:tcPr>
                  <w:tcW w:w="1640" w:type="dxa"/>
                </w:tcPr>
                <w:p/>
              </w:tc>
              <w:tc>
                <w:tcPr>
                  <w:tcW w:w="1266" w:type="dxa"/>
                  <w:vAlign w:val="top"/>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tc>
              <w:tc>
                <w:tcPr>
                  <w:tcW w:w="1310" w:type="dxa"/>
                </w:tcPr>
                <w:p/>
              </w:tc>
              <w:tc>
                <w:tcPr>
                  <w:tcW w:w="1370" w:type="dxa"/>
                </w:tcPr>
                <w:p/>
              </w:tc>
              <w:tc>
                <w:tcPr>
                  <w:tcW w:w="1640" w:type="dxa"/>
                </w:tcPr>
                <w:p/>
              </w:tc>
              <w:tc>
                <w:tcPr>
                  <w:tcW w:w="1266" w:type="dxa"/>
                  <w:vAlign w:val="top"/>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tc>
              <w:tc>
                <w:tcPr>
                  <w:tcW w:w="1310" w:type="dxa"/>
                </w:tcPr>
                <w:p/>
              </w:tc>
              <w:tc>
                <w:tcPr>
                  <w:tcW w:w="1370" w:type="dxa"/>
                </w:tcPr>
                <w:p/>
              </w:tc>
              <w:tc>
                <w:tcPr>
                  <w:tcW w:w="1640" w:type="dxa"/>
                </w:tcPr>
                <w:p/>
              </w:tc>
              <w:tc>
                <w:tcPr>
                  <w:tcW w:w="1266" w:type="dxa"/>
                  <w:vAlign w:val="top"/>
                </w:tcPr>
                <w:p/>
              </w:tc>
              <w:tc>
                <w:tcPr>
                  <w:tcW w:w="2046" w:type="dxa"/>
                </w:tcPr>
                <w:p/>
              </w:tc>
            </w:tr>
          </w:tbl>
          <w:p/>
          <w:p>
            <w:pPr>
              <w:pStyle w:val="2"/>
            </w:pPr>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pPr>
              <w:jc w:val="left"/>
            </w:pPr>
            <w:r>
              <w:rPr>
                <w:rFonts w:hint="eastAsia"/>
              </w:rPr>
              <w:t>危害控制计划 (HACCP/OPRP 计划)</w:t>
            </w:r>
            <w:r>
              <w:rPr>
                <w:rFonts w:hint="eastAsia"/>
              </w:rPr>
              <w:br w:type="textWrapping"/>
            </w:r>
          </w:p>
        </w:tc>
        <w:tc>
          <w:tcPr>
            <w:tcW w:w="996" w:type="dxa"/>
            <w:vMerge w:val="restart"/>
            <w:shd w:val="clear" w:color="auto" w:fill="auto"/>
          </w:tcPr>
          <w:p>
            <w:r>
              <w:rPr>
                <w:rFonts w:hint="eastAsia"/>
              </w:rPr>
              <w:t>F8.5.4</w:t>
            </w:r>
          </w:p>
          <w:p/>
        </w:tc>
        <w:tc>
          <w:tcPr>
            <w:tcW w:w="745" w:type="dxa"/>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《危害控制计划》</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6" w:hRule="atLeast"/>
        </w:trPr>
        <w:tc>
          <w:tcPr>
            <w:tcW w:w="2122"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524" w:type="dxa"/>
            <w:shd w:val="clear" w:color="auto" w:fill="auto"/>
          </w:tcPr>
          <w:p>
            <w:pPr>
              <w:spacing w:before="240" w:after="120"/>
              <w:rPr>
                <w:rFonts w:hint="eastAsia" w:ascii="宋体" w:hAnsi="宋体" w:cs="宋体"/>
                <w:b/>
                <w:u w:val="single"/>
                <w:lang w:val="en-GB"/>
              </w:rPr>
            </w:pPr>
            <w:r>
              <w:rPr>
                <w:rFonts w:hint="eastAsia" w:ascii="宋体" w:hAnsi="宋体" w:cs="宋体"/>
                <w:b/>
                <w:u w:val="single"/>
                <w:lang w:val="en-GB"/>
              </w:rPr>
              <w:t>危害控制计划：</w:t>
            </w:r>
          </w:p>
          <w:p>
            <w:pPr>
              <w:pStyle w:val="2"/>
              <w:rPr>
                <w:rFonts w:hint="default" w:eastAsia="宋体"/>
                <w:lang w:val="en-US" w:eastAsia="zh-CN"/>
              </w:rPr>
            </w:pPr>
            <w:r>
              <w:rPr>
                <w:rFonts w:hint="eastAsia"/>
                <w:lang w:val="en-US" w:eastAsia="zh-CN"/>
              </w:rPr>
              <w:t>所识别的OPRP点/CCP点：</w:t>
            </w:r>
          </w:p>
          <w:tbl>
            <w:tblPr>
              <w:tblStyle w:val="7"/>
              <w:tblW w:w="903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188"/>
              <w:gridCol w:w="2213"/>
              <w:gridCol w:w="2340"/>
              <w:gridCol w:w="243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41" w:hRule="atLeast"/>
                <w:tblHeader/>
              </w:trPr>
              <w:tc>
                <w:tcPr>
                  <w:tcW w:w="1188"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控制措施</w:t>
                  </w:r>
                </w:p>
              </w:tc>
              <w:tc>
                <w:tcPr>
                  <w:tcW w:w="2213"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所控制危害</w:t>
                  </w:r>
                </w:p>
              </w:tc>
              <w:tc>
                <w:tcPr>
                  <w:tcW w:w="2340"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关键限值</w:t>
                  </w:r>
                </w:p>
                <w:p>
                  <w:pPr>
                    <w:spacing w:line="300" w:lineRule="exact"/>
                    <w:jc w:val="center"/>
                    <w:rPr>
                      <w:rFonts w:hint="eastAsia"/>
                      <w:b/>
                      <w:color w:val="000000"/>
                      <w:sz w:val="18"/>
                      <w:szCs w:val="18"/>
                    </w:rPr>
                  </w:pPr>
                  <w:r>
                    <w:rPr>
                      <w:rFonts w:hint="eastAsia"/>
                      <w:b/>
                      <w:color w:val="000000"/>
                      <w:sz w:val="18"/>
                      <w:szCs w:val="18"/>
                    </w:rPr>
                    <w:t>行动准则</w:t>
                  </w:r>
                </w:p>
              </w:tc>
              <w:tc>
                <w:tcPr>
                  <w:tcW w:w="2438" w:type="dxa"/>
                  <w:tcBorders>
                    <w:tl2br w:val="nil"/>
                    <w:tr2bl w:val="nil"/>
                  </w:tcBorders>
                  <w:tcMar>
                    <w:left w:w="0" w:type="dxa"/>
                    <w:right w:w="0" w:type="dxa"/>
                  </w:tcMar>
                  <w:vAlign w:val="center"/>
                </w:tcPr>
                <w:p>
                  <w:pPr>
                    <w:spacing w:line="300" w:lineRule="exact"/>
                    <w:jc w:val="center"/>
                    <w:rPr>
                      <w:rFonts w:hint="eastAsia" w:eastAsia="宋体"/>
                      <w:b/>
                      <w:color w:val="000000"/>
                      <w:sz w:val="18"/>
                      <w:szCs w:val="18"/>
                      <w:lang w:val="en-US" w:eastAsia="zh-CN"/>
                    </w:rPr>
                  </w:pPr>
                  <w:r>
                    <w:rPr>
                      <w:rFonts w:hint="eastAsia"/>
                      <w:b/>
                      <w:color w:val="000000"/>
                      <w:sz w:val="18"/>
                      <w:szCs w:val="18"/>
                    </w:rPr>
                    <w:t>监控</w:t>
                  </w:r>
                  <w:r>
                    <w:rPr>
                      <w:rFonts w:hint="eastAsia"/>
                      <w:b/>
                      <w:color w:val="000000"/>
                      <w:sz w:val="18"/>
                      <w:szCs w:val="18"/>
                      <w:lang w:val="en-US" w:eastAsia="zh-CN"/>
                    </w:rPr>
                    <w:t>程序</w:t>
                  </w:r>
                </w:p>
                <w:p>
                  <w:pPr>
                    <w:spacing w:line="300" w:lineRule="exact"/>
                    <w:jc w:val="center"/>
                    <w:rPr>
                      <w:b/>
                      <w:color w:val="000000"/>
                      <w:sz w:val="18"/>
                      <w:szCs w:val="18"/>
                    </w:rPr>
                  </w:pPr>
                </w:p>
              </w:tc>
              <w:tc>
                <w:tcPr>
                  <w:tcW w:w="858"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324" w:hRule="atLeast"/>
              </w:trPr>
              <w:tc>
                <w:tcPr>
                  <w:tcW w:w="1188"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lang w:val="en-US" w:eastAsia="zh-CN"/>
                    </w:rPr>
                    <w:t>OPRP1-1：</w:t>
                  </w:r>
                </w:p>
                <w:p>
                  <w:pPr>
                    <w:spacing w:line="192" w:lineRule="auto"/>
                    <w:rPr>
                      <w:color w:val="000000"/>
                      <w:sz w:val="18"/>
                      <w:szCs w:val="18"/>
                    </w:rPr>
                  </w:pPr>
                  <w:r>
                    <w:rPr>
                      <w:rFonts w:hint="eastAsia"/>
                      <w:color w:val="000000"/>
                      <w:sz w:val="18"/>
                      <w:szCs w:val="18"/>
                      <w:lang w:val="en-US" w:eastAsia="zh-CN"/>
                    </w:rPr>
                    <w:t xml:space="preserve">冷冻水产类 </w:t>
                  </w:r>
                </w:p>
                <w:p>
                  <w:pPr>
                    <w:spacing w:line="192" w:lineRule="auto"/>
                    <w:rPr>
                      <w:color w:val="000000"/>
                      <w:sz w:val="18"/>
                      <w:szCs w:val="18"/>
                    </w:rPr>
                  </w:pPr>
                  <w:r>
                    <w:rPr>
                      <w:rFonts w:hint="eastAsia"/>
                      <w:color w:val="000000"/>
                      <w:sz w:val="18"/>
                      <w:szCs w:val="18"/>
                      <w:lang w:val="en-US" w:eastAsia="zh-CN"/>
                    </w:rPr>
                    <w:t>的验收</w:t>
                  </w:r>
                </w:p>
              </w:tc>
              <w:tc>
                <w:tcPr>
                  <w:tcW w:w="2213" w:type="dxa"/>
                  <w:tcBorders>
                    <w:tl2br w:val="nil"/>
                    <w:tr2bl w:val="nil"/>
                  </w:tcBorders>
                  <w:tcMar>
                    <w:left w:w="0" w:type="dxa"/>
                    <w:right w:w="0" w:type="dxa"/>
                  </w:tcMar>
                  <w:vAlign w:val="center"/>
                </w:tcPr>
                <w:p>
                  <w:pPr>
                    <w:spacing w:line="192" w:lineRule="auto"/>
                    <w:rPr>
                      <w:rFonts w:hint="default" w:eastAsia="宋体"/>
                      <w:color w:val="000000"/>
                      <w:sz w:val="18"/>
                      <w:szCs w:val="18"/>
                      <w:lang w:val="en-US" w:eastAsia="zh-CN"/>
                    </w:rPr>
                  </w:pPr>
                  <w:r>
                    <w:rPr>
                      <w:rFonts w:hint="eastAsia"/>
                      <w:color w:val="000000"/>
                      <w:sz w:val="18"/>
                      <w:szCs w:val="18"/>
                      <w:lang w:val="en-US" w:eastAsia="zh-CN"/>
                    </w:rPr>
                    <w:t>化学危害：药物/激素残留、重金属、组胺等有害化学物质超标，含有海洋毒素、贝类毒素等</w:t>
                  </w:r>
                </w:p>
              </w:tc>
              <w:tc>
                <w:tcPr>
                  <w:tcW w:w="2340"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rPr>
                    <w:t>1、来自合格供方； 2、所提供的外检报告符合要求3、冰鲜产品－2～4℃，深冷产品＜ －18℃</w:t>
                  </w:r>
                </w:p>
              </w:tc>
              <w:tc>
                <w:tcPr>
                  <w:tcW w:w="2438" w:type="dxa"/>
                  <w:tcBorders>
                    <w:tl2br w:val="nil"/>
                    <w:tr2bl w:val="nil"/>
                  </w:tcBorders>
                  <w:tcMar>
                    <w:left w:w="0" w:type="dxa"/>
                    <w:right w:w="0" w:type="dxa"/>
                  </w:tcMar>
                  <w:vAlign w:val="center"/>
                </w:tcPr>
                <w:p>
                  <w:pPr>
                    <w:spacing w:line="192" w:lineRule="auto"/>
                    <w:rPr>
                      <w:rFonts w:hint="default" w:eastAsia="宋体"/>
                      <w:color w:val="000000"/>
                      <w:sz w:val="18"/>
                      <w:szCs w:val="18"/>
                      <w:lang w:val="en-US" w:eastAsia="zh-CN"/>
                    </w:rPr>
                  </w:pPr>
                  <w:r>
                    <w:rPr>
                      <w:rFonts w:hint="eastAsia"/>
                      <w:color w:val="000000"/>
                      <w:sz w:val="18"/>
                      <w:szCs w:val="18"/>
                      <w:lang w:val="en-US" w:eastAsia="zh-CN"/>
                    </w:rPr>
                    <w:t>验收员每批核对是否从合格供方采购，并且核对温度，每年索取产品外检报告</w:t>
                  </w:r>
                </w:p>
              </w:tc>
              <w:tc>
                <w:tcPr>
                  <w:tcW w:w="858" w:type="dxa"/>
                  <w:tcBorders>
                    <w:tl2br w:val="nil"/>
                    <w:tr2bl w:val="nil"/>
                  </w:tcBorders>
                  <w:tcMar>
                    <w:left w:w="0" w:type="dxa"/>
                    <w:right w:w="0" w:type="dxa"/>
                  </w:tcMar>
                  <w:vAlign w:val="center"/>
                </w:tcPr>
                <w:p>
                  <w:pPr>
                    <w:keepNext w:val="0"/>
                    <w:keepLines w:val="0"/>
                    <w:widowControl/>
                    <w:suppressLineNumbers w:val="0"/>
                    <w:jc w:val="left"/>
                    <w:rPr>
                      <w:color w:val="000000"/>
                      <w:sz w:val="18"/>
                      <w:szCs w:val="18"/>
                    </w:rPr>
                  </w:pPr>
                  <w:r>
                    <w:rPr>
                      <w:rFonts w:hint="eastAsia" w:ascii="宋体" w:hAnsi="宋体" w:eastAsia="宋体" w:cs="宋体"/>
                      <w:color w:val="000000"/>
                      <w:kern w:val="0"/>
                      <w:sz w:val="18"/>
                      <w:szCs w:val="18"/>
                      <w:lang w:val="en-US" w:eastAsia="zh-CN" w:bidi="ar"/>
                    </w:rPr>
                    <w:t>《产品进货验收记录》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204" w:hRule="atLeast"/>
              </w:trPr>
              <w:tc>
                <w:tcPr>
                  <w:tcW w:w="1188"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lang w:val="en-US" w:eastAsia="zh-CN"/>
                    </w:rPr>
                    <w:t xml:space="preserve">OPRP1-2 </w:t>
                  </w:r>
                </w:p>
                <w:p>
                  <w:pPr>
                    <w:spacing w:line="192" w:lineRule="auto"/>
                    <w:rPr>
                      <w:color w:val="000000"/>
                      <w:sz w:val="18"/>
                      <w:szCs w:val="18"/>
                    </w:rPr>
                  </w:pPr>
                  <w:r>
                    <w:rPr>
                      <w:rFonts w:hint="eastAsia"/>
                      <w:color w:val="000000"/>
                      <w:sz w:val="18"/>
                      <w:szCs w:val="18"/>
                      <w:lang w:val="en-US" w:eastAsia="zh-CN"/>
                    </w:rPr>
                    <w:t>鲜活水产品类采购验收</w:t>
                  </w:r>
                </w:p>
              </w:tc>
              <w:tc>
                <w:tcPr>
                  <w:tcW w:w="2213" w:type="dxa"/>
                  <w:tcBorders>
                    <w:tl2br w:val="nil"/>
                    <w:tr2bl w:val="nil"/>
                  </w:tcBorders>
                  <w:tcMar>
                    <w:left w:w="0" w:type="dxa"/>
                    <w:right w:w="0" w:type="dxa"/>
                  </w:tcMar>
                  <w:vAlign w:val="center"/>
                </w:tcPr>
                <w:p>
                  <w:pPr>
                    <w:spacing w:line="192" w:lineRule="auto"/>
                    <w:rPr>
                      <w:rFonts w:hint="eastAsia"/>
                      <w:color w:val="000000"/>
                      <w:sz w:val="18"/>
                      <w:szCs w:val="18"/>
                      <w:lang w:val="en-US" w:eastAsia="zh-CN"/>
                    </w:rPr>
                  </w:pPr>
                  <w:r>
                    <w:rPr>
                      <w:rFonts w:hint="eastAsia"/>
                      <w:color w:val="000000"/>
                      <w:sz w:val="18"/>
                      <w:szCs w:val="18"/>
                      <w:lang w:val="en-US" w:eastAsia="zh-CN"/>
                    </w:rPr>
                    <w:t>化学的危害：药物（孔雀绿石）/激素残留、重金属等有害化学物质超标等</w:t>
                  </w:r>
                </w:p>
              </w:tc>
              <w:tc>
                <w:tcPr>
                  <w:tcW w:w="2340"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1、来自合格供方；2、送检或索证的药物检 测报告等不得检出或超标</w:t>
                  </w:r>
                </w:p>
              </w:tc>
              <w:tc>
                <w:tcPr>
                  <w:tcW w:w="2438"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验收员每批核对是否从合格供方采购，每半年年索取产品外检报告</w:t>
                  </w:r>
                </w:p>
              </w:tc>
              <w:tc>
                <w:tcPr>
                  <w:tcW w:w="858" w:type="dxa"/>
                  <w:tcBorders>
                    <w:tl2br w:val="nil"/>
                    <w:tr2bl w:val="nil"/>
                  </w:tcBorders>
                  <w:tcMar>
                    <w:left w:w="0" w:type="dxa"/>
                    <w:right w:w="0" w:type="dxa"/>
                  </w:tcMar>
                  <w:vAlign w:val="center"/>
                </w:tcPr>
                <w:p>
                  <w:pPr>
                    <w:keepNext w:val="0"/>
                    <w:keepLines w:val="0"/>
                    <w:widowControl/>
                    <w:suppressLineNumbers w:val="0"/>
                    <w:jc w:val="left"/>
                    <w:rPr>
                      <w:rFonts w:ascii="Times New Roman" w:hAnsi="Times New Roman" w:eastAsia="宋体" w:cs="Times New Roman"/>
                      <w:color w:val="000000"/>
                      <w:kern w:val="2"/>
                      <w:sz w:val="18"/>
                      <w:szCs w:val="18"/>
                      <w:lang w:val="en-US" w:eastAsia="zh-CN" w:bidi="ar-SA"/>
                    </w:rPr>
                  </w:pP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产品进货验收记录</w:t>
                  </w:r>
                  <w:r>
                    <w:rPr>
                      <w:rFonts w:hint="eastAsia" w:ascii="宋体" w:hAnsi="宋体" w:cs="宋体"/>
                      <w:color w:val="000000"/>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44" w:hRule="atLeast"/>
              </w:trPr>
              <w:tc>
                <w:tcPr>
                  <w:tcW w:w="1188"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rPr>
                    <w:t>CCP1：冷冻、冷藏储存</w:t>
                  </w:r>
                </w:p>
              </w:tc>
              <w:tc>
                <w:tcPr>
                  <w:tcW w:w="2213" w:type="dxa"/>
                  <w:tcBorders>
                    <w:tl2br w:val="nil"/>
                    <w:tr2bl w:val="nil"/>
                  </w:tcBorders>
                  <w:tcMar>
                    <w:left w:w="0" w:type="dxa"/>
                    <w:right w:w="0" w:type="dxa"/>
                  </w:tcMar>
                  <w:vAlign w:val="center"/>
                </w:tcPr>
                <w:p>
                  <w:pPr>
                    <w:spacing w:line="192" w:lineRule="auto"/>
                    <w:rPr>
                      <w:rFonts w:hint="default"/>
                      <w:color w:val="000000"/>
                      <w:sz w:val="18"/>
                      <w:szCs w:val="18"/>
                      <w:lang w:val="en-US" w:eastAsia="zh-CN"/>
                    </w:rPr>
                  </w:pPr>
                  <w:r>
                    <w:rPr>
                      <w:rFonts w:hint="eastAsia"/>
                      <w:color w:val="000000"/>
                      <w:sz w:val="18"/>
                      <w:szCs w:val="18"/>
                      <w:lang w:val="en-US" w:eastAsia="zh-CN"/>
                    </w:rPr>
                    <w:t>病原体快速繁殖</w:t>
                  </w:r>
                </w:p>
              </w:tc>
              <w:tc>
                <w:tcPr>
                  <w:tcW w:w="2340"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如需暂存时，冻结库温度-15~-20℃以下。冷藏库温度保持0-10℃。</w:t>
                  </w:r>
                </w:p>
              </w:tc>
              <w:tc>
                <w:tcPr>
                  <w:tcW w:w="2438" w:type="dxa"/>
                  <w:tcBorders>
                    <w:tl2br w:val="nil"/>
                    <w:tr2bl w:val="nil"/>
                  </w:tcBorders>
                  <w:tcMar>
                    <w:left w:w="0" w:type="dxa"/>
                    <w:right w:w="0" w:type="dxa"/>
                  </w:tcMar>
                  <w:vAlign w:val="center"/>
                </w:tcPr>
                <w:p>
                  <w:pPr>
                    <w:spacing w:line="192" w:lineRule="auto"/>
                    <w:rPr>
                      <w:rFonts w:hint="default"/>
                      <w:color w:val="000000"/>
                      <w:sz w:val="18"/>
                      <w:szCs w:val="18"/>
                      <w:lang w:val="en-US" w:eastAsia="zh-CN"/>
                    </w:rPr>
                  </w:pPr>
                  <w:r>
                    <w:rPr>
                      <w:rFonts w:hint="eastAsia"/>
                      <w:color w:val="000000"/>
                      <w:sz w:val="18"/>
                      <w:szCs w:val="18"/>
                      <w:lang w:val="en-US" w:eastAsia="zh-CN"/>
                    </w:rPr>
                    <w:t>仓管员每天观察冷冻库冷藏储存温度</w:t>
                  </w:r>
                </w:p>
              </w:tc>
              <w:tc>
                <w:tcPr>
                  <w:tcW w:w="858" w:type="dxa"/>
                  <w:tcBorders>
                    <w:tl2br w:val="nil"/>
                    <w:tr2bl w:val="nil"/>
                  </w:tcBorders>
                  <w:tcMar>
                    <w:left w:w="0" w:type="dxa"/>
                    <w:right w:w="0" w:type="dxa"/>
                  </w:tcMar>
                  <w:vAlign w:val="center"/>
                </w:tcPr>
                <w:p>
                  <w:pPr>
                    <w:keepNext w:val="0"/>
                    <w:keepLines w:val="0"/>
                    <w:widowControl/>
                    <w:suppressLineNumbers w:val="0"/>
                    <w:jc w:val="left"/>
                    <w:rPr>
                      <w:rFonts w:ascii="Times New Roman" w:hAnsi="Times New Roman" w:eastAsia="宋体" w:cs="Times New Roman"/>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《冷库巡查记录表》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44" w:hRule="atLeast"/>
              </w:trPr>
              <w:tc>
                <w:tcPr>
                  <w:tcW w:w="1188"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CCP2：配送</w:t>
                  </w:r>
                </w:p>
              </w:tc>
              <w:tc>
                <w:tcPr>
                  <w:tcW w:w="2213" w:type="dxa"/>
                  <w:tcBorders>
                    <w:tl2br w:val="nil"/>
                    <w:tr2bl w:val="nil"/>
                  </w:tcBorders>
                  <w:tcMar>
                    <w:left w:w="0" w:type="dxa"/>
                    <w:right w:w="0" w:type="dxa"/>
                  </w:tcMar>
                  <w:vAlign w:val="center"/>
                </w:tcPr>
                <w:p>
                  <w:pPr>
                    <w:spacing w:line="192" w:lineRule="auto"/>
                    <w:rPr>
                      <w:rFonts w:hint="default"/>
                      <w:color w:val="000000"/>
                      <w:sz w:val="18"/>
                      <w:szCs w:val="18"/>
                      <w:lang w:val="en-US" w:eastAsia="zh-CN"/>
                    </w:rPr>
                  </w:pPr>
                  <w:r>
                    <w:rPr>
                      <w:rFonts w:hint="eastAsia"/>
                      <w:color w:val="000000"/>
                      <w:sz w:val="18"/>
                      <w:szCs w:val="18"/>
                      <w:lang w:val="en-US" w:eastAsia="zh-CN"/>
                    </w:rPr>
                    <w:t>病原体快速繁殖</w:t>
                  </w:r>
                </w:p>
              </w:tc>
              <w:tc>
                <w:tcPr>
                  <w:tcW w:w="2340"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温度不高于10~15℃（冷鲜产品冷</w:t>
                  </w:r>
                </w:p>
                <w:p>
                  <w:pPr>
                    <w:spacing w:line="192" w:lineRule="auto"/>
                    <w:rPr>
                      <w:rFonts w:hint="eastAsia"/>
                      <w:color w:val="000000"/>
                      <w:sz w:val="18"/>
                      <w:szCs w:val="18"/>
                    </w:rPr>
                  </w:pPr>
                  <w:r>
                    <w:rPr>
                      <w:rFonts w:hint="eastAsia"/>
                      <w:color w:val="000000"/>
                      <w:sz w:val="18"/>
                      <w:szCs w:val="18"/>
                    </w:rPr>
                    <w:t>藏）；温度不高于 0 度（冷冻产品）</w:t>
                  </w:r>
                </w:p>
              </w:tc>
              <w:tc>
                <w:tcPr>
                  <w:tcW w:w="2438" w:type="dxa"/>
                  <w:tcBorders>
                    <w:tl2br w:val="nil"/>
                    <w:tr2bl w:val="nil"/>
                  </w:tcBorders>
                  <w:tcMar>
                    <w:left w:w="0" w:type="dxa"/>
                    <w:right w:w="0" w:type="dxa"/>
                  </w:tcMar>
                  <w:vAlign w:val="center"/>
                </w:tcPr>
                <w:p>
                  <w:pPr>
                    <w:spacing w:line="192" w:lineRule="auto"/>
                    <w:rPr>
                      <w:rFonts w:hint="default"/>
                      <w:color w:val="000000"/>
                      <w:sz w:val="18"/>
                      <w:szCs w:val="18"/>
                      <w:lang w:val="en-US" w:eastAsia="zh-CN"/>
                    </w:rPr>
                  </w:pPr>
                  <w:r>
                    <w:rPr>
                      <w:rFonts w:hint="eastAsia"/>
                      <w:color w:val="000000"/>
                      <w:sz w:val="18"/>
                      <w:szCs w:val="18"/>
                      <w:lang w:val="en-US" w:eastAsia="zh-CN"/>
                    </w:rPr>
                    <w:t>配送员每车观察及温度测量</w:t>
                  </w:r>
                </w:p>
                <w:p>
                  <w:pPr>
                    <w:spacing w:line="192" w:lineRule="auto"/>
                    <w:rPr>
                      <w:rFonts w:hint="eastAsia"/>
                      <w:color w:val="000000"/>
                      <w:sz w:val="18"/>
                      <w:szCs w:val="18"/>
                      <w:lang w:val="en-US" w:eastAsia="zh-CN"/>
                    </w:rPr>
                  </w:pPr>
                </w:p>
              </w:tc>
              <w:tc>
                <w:tcPr>
                  <w:tcW w:w="858" w:type="dxa"/>
                  <w:tcBorders>
                    <w:tl2br w:val="nil"/>
                    <w:tr2bl w:val="nil"/>
                  </w:tcBorders>
                  <w:tcMar>
                    <w:left w:w="0" w:type="dxa"/>
                    <w:right w:w="0" w:type="dxa"/>
                  </w:tcMar>
                  <w:vAlign w:val="center"/>
                </w:tcPr>
                <w:p>
                  <w:pPr>
                    <w:keepNext w:val="0"/>
                    <w:keepLines w:val="0"/>
                    <w:widowControl/>
                    <w:suppressLineNumbers w:val="0"/>
                    <w:jc w:val="left"/>
                    <w:rPr>
                      <w:rFonts w:ascii="Times New Roman" w:hAnsi="Times New Roman" w:eastAsia="宋体" w:cs="Times New Roman"/>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 xml:space="preserve">配送记录 </w:t>
                  </w:r>
                </w:p>
              </w:tc>
            </w:tr>
          </w:tbl>
          <w:p>
            <w:pPr>
              <w:rPr>
                <w:rFonts w:hint="default" w:eastAsia="宋体"/>
                <w:szCs w:val="21"/>
                <w:lang w:val="en-US" w:eastAsia="zh-CN"/>
              </w:rPr>
            </w:pPr>
            <w:r>
              <w:rPr>
                <w:rFonts w:hint="eastAsia"/>
                <w:szCs w:val="21"/>
                <w:lang w:val="en-US" w:eastAsia="zh-CN"/>
              </w:rPr>
              <w:t>经确认，冷冻冷藏储存CCP1点，咱不适用，已现场沟通后期改进</w:t>
            </w:r>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22" w:type="dxa"/>
            <w:vMerge w:val="continue"/>
            <w:shd w:val="clear" w:color="auto" w:fill="auto"/>
          </w:tcPr>
          <w:p/>
        </w:tc>
        <w:tc>
          <w:tcPr>
            <w:tcW w:w="996" w:type="dxa"/>
            <w:shd w:val="clear" w:color="auto" w:fill="auto"/>
          </w:tcPr>
          <w:p>
            <w:r>
              <w:rPr>
                <w:rFonts w:hint="eastAsia"/>
              </w:rPr>
              <w:t>8.5.4.4 超出关键限值或行动限值采取的措施</w:t>
            </w:r>
          </w:p>
        </w:tc>
        <w:tc>
          <w:tcPr>
            <w:tcW w:w="745" w:type="dxa"/>
            <w:shd w:val="clear" w:color="auto" w:fill="auto"/>
          </w:tcPr>
          <w:p/>
        </w:tc>
        <w:tc>
          <w:tcPr>
            <w:tcW w:w="9524" w:type="dxa"/>
            <w:shd w:val="clear" w:color="auto" w:fill="auto"/>
          </w:tcPr>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22" w:type="dxa"/>
            <w:vMerge w:val="continue"/>
            <w:shd w:val="clear" w:color="auto" w:fill="auto"/>
          </w:tcPr>
          <w:p/>
        </w:tc>
        <w:tc>
          <w:tcPr>
            <w:tcW w:w="996" w:type="dxa"/>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524" w:type="dxa"/>
            <w:shd w:val="clear" w:color="auto" w:fill="auto"/>
          </w:tcPr>
          <w:p>
            <w:r>
              <w:rPr>
                <w:rFonts w:hint="eastAsia"/>
              </w:rPr>
              <w:t>OPRP的实施情况：“见</w:t>
            </w:r>
            <w:r>
              <w:rPr>
                <w:rFonts w:hint="eastAsia"/>
                <w:lang w:val="en-US" w:eastAsia="zh-CN"/>
              </w:rPr>
              <w:t>分拣部</w:t>
            </w:r>
            <w:r>
              <w:rPr>
                <w:rFonts w:hint="eastAsia"/>
              </w:rPr>
              <w:t>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HACCP的实施情况：“见</w:t>
            </w:r>
            <w:r>
              <w:rPr>
                <w:rFonts w:hint="eastAsia"/>
                <w:lang w:val="en-US" w:eastAsia="zh-CN"/>
              </w:rPr>
              <w:t>分拣部</w:t>
            </w:r>
            <w:r>
              <w:rPr>
                <w:rFonts w:hint="eastAsia"/>
              </w:rPr>
              <w:t>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776"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PRP和危害控制计划文件的更新</w:t>
            </w:r>
          </w:p>
        </w:tc>
        <w:tc>
          <w:tcPr>
            <w:tcW w:w="996" w:type="dxa"/>
            <w:vMerge w:val="restart"/>
            <w:shd w:val="clear" w:color="auto" w:fill="auto"/>
          </w:tcPr>
          <w:p>
            <w:r>
              <w:rPr>
                <w:rFonts w:hint="eastAsia"/>
              </w:rPr>
              <w:t>F8.6</w:t>
            </w:r>
          </w:p>
        </w:tc>
        <w:tc>
          <w:tcPr>
            <w:tcW w:w="745" w:type="dxa"/>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手册8.6条款</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122"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524" w:type="dxa"/>
            <w:shd w:val="clear" w:color="auto" w:fill="auto"/>
          </w:tcPr>
          <w:p>
            <w:r>
              <w:rPr>
                <w:rFonts w:hint="eastAsia"/>
              </w:rPr>
              <w:t>制定OPRP计划和（或） HACCP计划后，组织对如下信息进行更新：</w:t>
            </w:r>
          </w:p>
          <w:p>
            <w:pPr>
              <w:rPr>
                <w:color w:val="0000FF"/>
              </w:rPr>
            </w:pPr>
            <w:r>
              <w:rPr>
                <w:rFonts w:hint="eastAsia"/>
                <w:color w:val="0000FF"/>
              </w:rPr>
              <w:sym w:font="Wingdings" w:char="00A8"/>
            </w:r>
            <w:r>
              <w:rPr>
                <w:rFonts w:hint="eastAsia"/>
                <w:color w:val="0000FF"/>
              </w:rPr>
              <w:t>体系建立以来未发生</w:t>
            </w:r>
          </w:p>
          <w:p>
            <w:pPr>
              <w:rPr>
                <w:color w:val="0000FF"/>
              </w:rPr>
            </w:pPr>
            <w:r>
              <w:rPr>
                <w:rFonts w:hint="eastAsia"/>
                <w:color w:val="0000FF"/>
              </w:rPr>
              <w:sym w:font="Wingdings" w:char="00FE"/>
            </w:r>
            <w:r>
              <w:rPr>
                <w:rFonts w:hint="eastAsia"/>
                <w:color w:val="0000FF"/>
                <w:lang w:val="en-US" w:eastAsia="zh-CN"/>
              </w:rPr>
              <w:t>近一年</w:t>
            </w:r>
            <w:r>
              <w:rPr>
                <w:rFonts w:hint="eastAsia"/>
                <w:color w:val="0000FF"/>
              </w:rPr>
              <w:t>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tc>
              <w:tc>
                <w:tcPr>
                  <w:tcW w:w="4818" w:type="dxa"/>
                </w:tcPr>
                <w:p/>
              </w:tc>
            </w:tr>
          </w:tbl>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与 PRP、危害控制计划有关的验证</w:t>
            </w:r>
            <w:r>
              <w:rPr>
                <w:rFonts w:hint="eastAsia"/>
              </w:rPr>
              <w:br w:type="textWrapping"/>
            </w:r>
          </w:p>
          <w:p/>
        </w:tc>
        <w:tc>
          <w:tcPr>
            <w:tcW w:w="996" w:type="dxa"/>
            <w:vMerge w:val="restart"/>
            <w:shd w:val="clear" w:color="auto" w:fill="auto"/>
          </w:tcPr>
          <w:p>
            <w:pPr>
              <w:rPr>
                <w:rFonts w:hint="eastAsia"/>
              </w:rPr>
            </w:pPr>
            <w:r>
              <w:rPr>
                <w:rFonts w:hint="eastAsia"/>
              </w:rPr>
              <w:t>F8.8.1</w:t>
            </w:r>
          </w:p>
        </w:tc>
        <w:tc>
          <w:tcPr>
            <w:tcW w:w="745" w:type="dxa"/>
            <w:shd w:val="clear" w:color="auto" w:fill="auto"/>
          </w:tcPr>
          <w:p>
            <w:r>
              <w:rPr>
                <w:rFonts w:hint="eastAsia"/>
              </w:rPr>
              <w:t>文件名称</w:t>
            </w:r>
          </w:p>
        </w:tc>
        <w:tc>
          <w:tcPr>
            <w:tcW w:w="9524" w:type="dxa"/>
            <w:shd w:val="clear" w:color="auto" w:fill="auto"/>
          </w:tcPr>
          <w:p>
            <w:r>
              <w:rPr>
                <w:rFonts w:hint="eastAsia"/>
              </w:rPr>
              <w:t>如：</w:t>
            </w:r>
            <w:r>
              <w:rPr/>
              <w:sym w:font="Wingdings" w:char="00FE"/>
            </w:r>
            <w:r>
              <w:rPr>
                <w:rFonts w:hint="eastAsia"/>
              </w:rPr>
              <w:t>《食品安全管理体系验证程序》</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2"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524" w:type="dxa"/>
            <w:shd w:val="clear" w:color="auto" w:fill="auto"/>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256"/>
              <w:gridCol w:w="2174"/>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b/>
                      <w:szCs w:val="21"/>
                    </w:rPr>
                  </w:pPr>
                  <w:r>
                    <w:rPr>
                      <w:rFonts w:hint="eastAsia"/>
                      <w:b/>
                      <w:szCs w:val="21"/>
                    </w:rPr>
                    <w:t>目的</w:t>
                  </w:r>
                </w:p>
              </w:tc>
              <w:tc>
                <w:tcPr>
                  <w:tcW w:w="1256" w:type="dxa"/>
                </w:tcPr>
                <w:p>
                  <w:pPr>
                    <w:rPr>
                      <w:b/>
                      <w:szCs w:val="21"/>
                    </w:rPr>
                  </w:pPr>
                  <w:r>
                    <w:rPr>
                      <w:rFonts w:hint="eastAsia"/>
                      <w:b/>
                      <w:szCs w:val="21"/>
                    </w:rPr>
                    <w:t>方法</w:t>
                  </w:r>
                </w:p>
              </w:tc>
              <w:tc>
                <w:tcPr>
                  <w:tcW w:w="2174" w:type="dxa"/>
                </w:tcPr>
                <w:p>
                  <w:pPr>
                    <w:rPr>
                      <w:b/>
                      <w:szCs w:val="21"/>
                    </w:rPr>
                  </w:pPr>
                  <w:r>
                    <w:rPr>
                      <w:rFonts w:hint="eastAsia"/>
                      <w:b/>
                      <w:szCs w:val="21"/>
                    </w:rPr>
                    <w:t>频次</w:t>
                  </w:r>
                </w:p>
              </w:tc>
              <w:tc>
                <w:tcPr>
                  <w:tcW w:w="1809" w:type="dxa"/>
                </w:tcPr>
                <w:p>
                  <w:pPr>
                    <w:rPr>
                      <w:b/>
                      <w:szCs w:val="21"/>
                    </w:rPr>
                  </w:pPr>
                  <w:r>
                    <w:rPr>
                      <w:rFonts w:hint="eastAsia"/>
                      <w:b/>
                      <w:szCs w:val="21"/>
                    </w:rPr>
                    <w:t>职责</w:t>
                  </w:r>
                </w:p>
              </w:tc>
              <w:tc>
                <w:tcPr>
                  <w:tcW w:w="1809"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256" w:type="dxa"/>
                </w:tcPr>
                <w:p>
                  <w:pPr>
                    <w:rPr>
                      <w:szCs w:val="21"/>
                    </w:rPr>
                  </w:pPr>
                  <w:r>
                    <w:rPr>
                      <w:rFonts w:hint="eastAsia"/>
                      <w:szCs w:val="21"/>
                    </w:rPr>
                    <w:t>自行检查</w:t>
                  </w:r>
                </w:p>
              </w:tc>
              <w:tc>
                <w:tcPr>
                  <w:tcW w:w="2174" w:type="dxa"/>
                </w:tcPr>
                <w:p>
                  <w:pPr>
                    <w:rPr>
                      <w:szCs w:val="21"/>
                    </w:rPr>
                  </w:pPr>
                  <w:r>
                    <w:rPr>
                      <w:rFonts w:hint="eastAsia" w:ascii="宋体" w:hAnsi="宋体"/>
                      <w:szCs w:val="21"/>
                    </w:rPr>
                    <w:t>首次运行或变更后重新运行时和不超过六个月的时间间隔进行</w:t>
                  </w:r>
                </w:p>
              </w:tc>
              <w:tc>
                <w:tcPr>
                  <w:tcW w:w="1809" w:type="dxa"/>
                </w:tcPr>
                <w:p>
                  <w:pPr>
                    <w:rPr>
                      <w:rFonts w:hint="default" w:eastAsia="宋体"/>
                      <w:szCs w:val="21"/>
                      <w:lang w:val="en-US" w:eastAsia="zh-CN"/>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256" w:type="dxa"/>
                </w:tcPr>
                <w:p>
                  <w:pPr>
                    <w:rPr>
                      <w:szCs w:val="21"/>
                    </w:rPr>
                  </w:pPr>
                  <w:r>
                    <w:rPr>
                      <w:rFonts w:hint="eastAsia"/>
                      <w:szCs w:val="21"/>
                    </w:rPr>
                    <w:t>自行检查</w:t>
                  </w:r>
                </w:p>
              </w:tc>
              <w:tc>
                <w:tcPr>
                  <w:tcW w:w="2174" w:type="dxa"/>
                </w:tcPr>
                <w:p>
                  <w:pPr>
                    <w:rPr>
                      <w:szCs w:val="21"/>
                    </w:rPr>
                  </w:pPr>
                  <w:r>
                    <w:rPr>
                      <w:rFonts w:hint="eastAsia"/>
                      <w:szCs w:val="21"/>
                    </w:rPr>
                    <w:t>每年一次</w:t>
                  </w:r>
                </w:p>
              </w:tc>
              <w:tc>
                <w:tcPr>
                  <w:tcW w:w="1809" w:type="dxa"/>
                </w:tcPr>
                <w:p>
                  <w:pPr>
                    <w:rPr>
                      <w:szCs w:val="21"/>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256" w:type="dxa"/>
                </w:tcPr>
                <w:p>
                  <w:pPr>
                    <w:rPr>
                      <w:szCs w:val="21"/>
                    </w:rPr>
                  </w:pPr>
                  <w:r>
                    <w:rPr>
                      <w:rFonts w:hint="eastAsia"/>
                      <w:szCs w:val="21"/>
                    </w:rPr>
                    <w:t>自行检查</w:t>
                  </w:r>
                </w:p>
                <w:p>
                  <w:pPr>
                    <w:rPr>
                      <w:szCs w:val="21"/>
                    </w:rPr>
                  </w:pPr>
                  <w:r>
                    <w:rPr>
                      <w:rFonts w:hint="eastAsia"/>
                      <w:szCs w:val="21"/>
                    </w:rPr>
                    <w:t>外部送检</w:t>
                  </w:r>
                </w:p>
              </w:tc>
              <w:tc>
                <w:tcPr>
                  <w:tcW w:w="2174" w:type="dxa"/>
                </w:tcPr>
                <w:p>
                  <w:pPr>
                    <w:rPr>
                      <w:szCs w:val="21"/>
                    </w:rPr>
                  </w:pPr>
                  <w:r>
                    <w:rPr>
                      <w:rFonts w:hint="eastAsia"/>
                      <w:szCs w:val="21"/>
                    </w:rPr>
                    <w:t>每年一次</w:t>
                  </w:r>
                </w:p>
              </w:tc>
              <w:tc>
                <w:tcPr>
                  <w:tcW w:w="1809" w:type="dxa"/>
                </w:tcPr>
                <w:p>
                  <w:pPr>
                    <w:rPr>
                      <w:szCs w:val="21"/>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256" w:type="dxa"/>
                </w:tcPr>
                <w:p>
                  <w:pPr>
                    <w:rPr>
                      <w:szCs w:val="21"/>
                    </w:rPr>
                  </w:pPr>
                  <w:r>
                    <w:rPr>
                      <w:rFonts w:hint="eastAsia"/>
                      <w:szCs w:val="21"/>
                    </w:rPr>
                    <w:t>检查</w:t>
                  </w:r>
                </w:p>
              </w:tc>
              <w:tc>
                <w:tcPr>
                  <w:tcW w:w="2174" w:type="dxa"/>
                </w:tcPr>
                <w:p>
                  <w:pPr>
                    <w:rPr>
                      <w:szCs w:val="21"/>
                    </w:rPr>
                  </w:pPr>
                  <w:r>
                    <w:rPr>
                      <w:rFonts w:hint="eastAsia"/>
                      <w:szCs w:val="21"/>
                    </w:rPr>
                    <w:t>首次运行或变更后重新运行时和不超过六个月的时间间隔进行</w:t>
                  </w:r>
                </w:p>
              </w:tc>
              <w:tc>
                <w:tcPr>
                  <w:tcW w:w="1809" w:type="dxa"/>
                </w:tcPr>
                <w:p>
                  <w:pPr>
                    <w:rPr>
                      <w:szCs w:val="21"/>
                    </w:rPr>
                  </w:pPr>
                  <w:r>
                    <w:rPr>
                      <w:rFonts w:hint="eastAsia"/>
                      <w:szCs w:val="21"/>
                      <w:lang w:val="en-US" w:eastAsia="zh-CN"/>
                    </w:rPr>
                    <w:t>食品安全小组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256" w:type="dxa"/>
                </w:tcPr>
                <w:p>
                  <w:pPr>
                    <w:rPr>
                      <w:szCs w:val="21"/>
                    </w:rPr>
                  </w:pPr>
                  <w:r>
                    <w:rPr>
                      <w:rFonts w:hint="eastAsia"/>
                      <w:szCs w:val="21"/>
                    </w:rPr>
                    <w:t>——</w:t>
                  </w:r>
                </w:p>
              </w:tc>
              <w:tc>
                <w:tcPr>
                  <w:tcW w:w="2174" w:type="dxa"/>
                </w:tcPr>
                <w:p>
                  <w:pPr>
                    <w:rPr>
                      <w:szCs w:val="21"/>
                    </w:rPr>
                  </w:pPr>
                </w:p>
              </w:tc>
              <w:tc>
                <w:tcPr>
                  <w:tcW w:w="1809" w:type="dxa"/>
                </w:tcPr>
                <w:p>
                  <w:pPr>
                    <w:rPr>
                      <w:szCs w:val="21"/>
                    </w:rPr>
                  </w:pP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b/>
              </w:rPr>
            </w:pPr>
          </w:p>
          <w:p>
            <w:r>
              <w:rPr>
                <w:rFonts w:hint="eastAsia"/>
              </w:rPr>
              <w:t>见《验证报告》和《检验报告》</w:t>
            </w:r>
          </w:p>
          <w:p>
            <w:pPr>
              <w:rPr>
                <w:u w:val="single"/>
              </w:rPr>
            </w:pPr>
            <w:r>
              <w:rPr>
                <w:rFonts w:hint="eastAsia"/>
              </w:rPr>
              <w:t>抽取作业环境（人员、空气、工器具、接触面等）检验相关记录名称：</w:t>
            </w:r>
            <w:r>
              <w:rPr>
                <w:rFonts w:hint="eastAsia"/>
                <w:color w:val="000000" w:themeColor="text1"/>
                <w14:textFill>
                  <w14:solidFill>
                    <w14:schemeClr w14:val="tx1"/>
                  </w14:solidFill>
                </w14:textFill>
              </w:rPr>
              <w:t>主要以卫生检查为主，见厨部审核记录。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Pr>
              <w:rPr>
                <w:rFonts w:hint="eastAsia"/>
                <w:lang w:val="en-US" w:eastAsia="zh-CN"/>
              </w:rPr>
            </w:pPr>
            <w:r>
              <w:rPr>
                <w:rFonts w:hint="eastAsia"/>
                <w:lang w:val="en-US" w:eastAsia="zh-CN"/>
              </w:rPr>
              <w:t>主要以感官检测为主，详见分拣部审核记录</w:t>
            </w:r>
          </w:p>
          <w:p>
            <w:pPr>
              <w:pStyle w:val="2"/>
              <w:rPr>
                <w:rFonts w:hint="default"/>
                <w:lang w:val="en-US" w:eastAsia="zh-CN"/>
              </w:rPr>
            </w:pPr>
          </w:p>
          <w:p>
            <w:pPr>
              <w:rPr>
                <w:u w:val="single"/>
              </w:rPr>
            </w:pPr>
            <w:r>
              <w:t>抽取生产用水、蒸汽、冰</w:t>
            </w:r>
            <w:r>
              <w:rPr>
                <w:b/>
                <w:bCs/>
              </w:rPr>
              <w:t>检验</w:t>
            </w:r>
            <w:r>
              <w:t>相关记录名称：</w:t>
            </w:r>
            <w:r>
              <w:rPr>
                <w:u w:val="single"/>
              </w:rPr>
              <w:t xml:space="preserve">《   </w:t>
            </w:r>
            <w:r>
              <w:rPr>
                <w:rFonts w:hint="eastAsia"/>
                <w:u w:val="single"/>
                <w:lang w:eastAsia="zh-CN"/>
              </w:rPr>
              <w:t>——</w:t>
            </w:r>
            <w:r>
              <w:rPr>
                <w:rFonts w:hint="eastAsia"/>
                <w:u w:val="single"/>
              </w:rPr>
              <w:t>报告</w:t>
            </w:r>
            <w:r>
              <w:rPr>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rFonts w:hint="eastAsia" w:eastAsia="宋体"/>
                      <w:sz w:val="18"/>
                      <w:szCs w:val="18"/>
                      <w:lang w:eastAsia="zh-CN"/>
                    </w:rPr>
                  </w:pPr>
                  <w:r>
                    <w:rPr>
                      <w:rFonts w:hint="eastAsia"/>
                      <w:sz w:val="18"/>
                      <w:szCs w:val="18"/>
                      <w:lang w:eastAsia="zh-CN"/>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color w:val="000000" w:themeColor="text1"/>
                      <w:sz w:val="18"/>
                      <w:szCs w:val="18"/>
                      <w14:textFill>
                        <w14:solidFill>
                          <w14:schemeClr w14:val="tx1"/>
                        </w14:solidFill>
                      </w14:textFill>
                    </w:rPr>
                  </w:pPr>
                  <w:r>
                    <w:rPr>
                      <w:rFonts w:hint="eastAsia"/>
                      <w:color w:val="0000FF"/>
                    </w:rPr>
                    <w:sym w:font="Wingdings" w:char="00FE"/>
                  </w:r>
                  <w:r>
                    <w:rPr>
                      <w:rFonts w:hint="eastAsia"/>
                      <w:color w:val="000000" w:themeColor="text1"/>
                      <w:sz w:val="18"/>
                      <w:szCs w:val="18"/>
                      <w14:textFill>
                        <w14:solidFill>
                          <w14:schemeClr w14:val="tx1"/>
                        </w14:solidFill>
                      </w14:textFill>
                    </w:rPr>
                    <w:t xml:space="preserve">合格 </w:t>
                  </w:r>
                </w:p>
                <w:p>
                  <w:pPr>
                    <w:rPr>
                      <w:sz w:val="18"/>
                      <w:szCs w:val="18"/>
                    </w:rPr>
                  </w:pPr>
                  <w:r>
                    <w:rPr>
                      <w:rFonts w:hint="eastAsia"/>
                      <w:color w:val="000000" w:themeColor="text1"/>
                      <w:sz w:val="18"/>
                      <w:szCs w:val="18"/>
                      <w14:textFill>
                        <w14:solidFill>
                          <w14:schemeClr w14:val="tx1"/>
                        </w14:solidFill>
                      </w14:textFill>
                    </w:rPr>
                    <w:t>□不合格</w:t>
                  </w:r>
                </w:p>
              </w:tc>
            </w:tr>
          </w:tbl>
          <w:p>
            <w:pPr>
              <w:pStyle w:val="2"/>
              <w:rPr>
                <w:rFonts w:hint="default"/>
                <w:lang w:val="en-US" w:eastAsia="zh-CN"/>
              </w:rPr>
            </w:pPr>
            <w:r>
              <w:rPr>
                <w:rFonts w:hint="eastAsia"/>
                <w:u w:val="single"/>
                <w:lang w:val="en-US" w:eastAsia="zh-CN"/>
              </w:rPr>
              <w:t>公司以销售为主，根据客户订单需求到供方处采购装车配送至客户处，用水主要是清洁车辆。</w:t>
            </w: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shd w:val="clear" w:color="auto" w:fill="auto"/>
          </w:tcPr>
          <w:p>
            <w:r>
              <w:rPr>
                <w:rFonts w:hint="eastAsia"/>
              </w:rPr>
              <w:t>验证活动结果的分析</w:t>
            </w:r>
          </w:p>
        </w:tc>
        <w:tc>
          <w:tcPr>
            <w:tcW w:w="996" w:type="dxa"/>
            <w:vMerge w:val="restart"/>
            <w:shd w:val="clear" w:color="auto" w:fill="auto"/>
          </w:tcPr>
          <w:p>
            <w:pPr>
              <w:rPr>
                <w:rFonts w:hint="eastAsia"/>
              </w:rPr>
            </w:pPr>
            <w:r>
              <w:rPr>
                <w:rFonts w:hint="eastAsia"/>
              </w:rPr>
              <w:t>F8.8.2</w:t>
            </w:r>
          </w:p>
        </w:tc>
        <w:tc>
          <w:tcPr>
            <w:tcW w:w="745" w:type="dxa"/>
            <w:shd w:val="clear" w:color="auto" w:fill="auto"/>
          </w:tcPr>
          <w:p>
            <w:r>
              <w:rPr>
                <w:rFonts w:hint="eastAsia"/>
              </w:rPr>
              <w:t>文件名称</w:t>
            </w:r>
          </w:p>
        </w:tc>
        <w:tc>
          <w:tcPr>
            <w:tcW w:w="9524" w:type="dxa"/>
            <w:shd w:val="clear" w:color="auto" w:fill="auto"/>
          </w:tcPr>
          <w:p>
            <w:r>
              <w:rPr>
                <w:rFonts w:hint="eastAsia"/>
              </w:rPr>
              <w:t>如：</w:t>
            </w:r>
            <w:r>
              <w:rPr>
                <w:rFonts w:hint="eastAsia"/>
              </w:rPr>
              <w:sym w:font="Wingdings" w:char="00A8"/>
            </w:r>
            <w:r>
              <w:rPr>
                <w:rFonts w:hint="eastAsia"/>
              </w:rPr>
              <w:t>《验证和确认控制程序》</w:t>
            </w:r>
            <w:r>
              <w:rPr/>
              <w:sym w:font="Wingdings" w:char="00FE"/>
            </w:r>
            <w:r>
              <w:rPr>
                <w:rFonts w:hint="eastAsia"/>
              </w:rPr>
              <w:t>《食品安全管理体系验证程序》</w:t>
            </w:r>
          </w:p>
        </w:tc>
        <w:tc>
          <w:tcPr>
            <w:tcW w:w="17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shd w:val="clear" w:color="auto" w:fill="auto"/>
          </w:tcPr>
          <w:p/>
        </w:tc>
        <w:tc>
          <w:tcPr>
            <w:tcW w:w="996" w:type="dxa"/>
            <w:vMerge w:val="continue"/>
            <w:shd w:val="clear" w:color="auto" w:fill="auto"/>
          </w:tcPr>
          <w:p/>
        </w:tc>
        <w:tc>
          <w:tcPr>
            <w:tcW w:w="745" w:type="dxa"/>
            <w:shd w:val="clear" w:color="auto" w:fill="auto"/>
          </w:tcPr>
          <w:p>
            <w:r>
              <w:rPr>
                <w:rFonts w:hint="eastAsia"/>
              </w:rPr>
              <w:t>运行证据</w:t>
            </w:r>
          </w:p>
        </w:tc>
        <w:tc>
          <w:tcPr>
            <w:tcW w:w="9524"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u w:val="single"/>
              </w:rPr>
            </w:pPr>
            <w:r>
              <w:rPr>
                <w:rFonts w:hint="eastAsia" w:ascii="宋体" w:hAnsi="宋体"/>
                <w:b/>
                <w:bCs/>
                <w:szCs w:val="21"/>
                <w:u w:val="single"/>
              </w:rPr>
              <w:t>有《PRP验证记录表》，20</w:t>
            </w:r>
            <w:r>
              <w:rPr>
                <w:rFonts w:ascii="宋体" w:hAnsi="宋体"/>
                <w:b/>
                <w:bCs/>
                <w:szCs w:val="21"/>
                <w:u w:val="single"/>
              </w:rPr>
              <w:t>21</w:t>
            </w:r>
            <w:r>
              <w:rPr>
                <w:rFonts w:hint="eastAsia" w:ascii="宋体" w:hAnsi="宋体"/>
                <w:b/>
                <w:bCs/>
                <w:szCs w:val="21"/>
                <w:u w:val="single"/>
              </w:rPr>
              <w:t>-</w:t>
            </w:r>
            <w:r>
              <w:rPr>
                <w:rFonts w:hint="eastAsia" w:ascii="宋体" w:hAnsi="宋体"/>
                <w:b/>
                <w:bCs/>
                <w:szCs w:val="21"/>
                <w:u w:val="single"/>
                <w:lang w:val="en-US" w:eastAsia="zh-CN"/>
              </w:rPr>
              <w:t>7</w:t>
            </w:r>
            <w:r>
              <w:rPr>
                <w:rFonts w:hint="eastAsia" w:ascii="宋体" w:hAnsi="宋体"/>
                <w:b/>
                <w:bCs/>
                <w:szCs w:val="21"/>
                <w:u w:val="single"/>
              </w:rPr>
              <w:t>-</w:t>
            </w:r>
            <w:r>
              <w:rPr>
                <w:rFonts w:hint="eastAsia" w:ascii="宋体" w:hAnsi="宋体"/>
                <w:b/>
                <w:bCs/>
                <w:szCs w:val="21"/>
                <w:u w:val="single"/>
                <w:lang w:val="en-US" w:eastAsia="zh-CN"/>
              </w:rPr>
              <w:t>7</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危害控制</w:t>
            </w:r>
            <w:r>
              <w:rPr>
                <w:rFonts w:hint="eastAsia" w:ascii="宋体" w:hAnsi="宋体"/>
                <w:b/>
                <w:bCs/>
                <w:szCs w:val="21"/>
                <w:u w:val="single"/>
              </w:rPr>
              <w:t>计划验证记录表》，20</w:t>
            </w:r>
            <w:r>
              <w:rPr>
                <w:rFonts w:ascii="宋体" w:hAnsi="宋体"/>
                <w:b/>
                <w:bCs/>
                <w:szCs w:val="21"/>
                <w:u w:val="single"/>
              </w:rPr>
              <w:t>21</w:t>
            </w:r>
            <w:r>
              <w:rPr>
                <w:rFonts w:hint="eastAsia" w:ascii="宋体" w:hAnsi="宋体"/>
                <w:b/>
                <w:bCs/>
                <w:szCs w:val="21"/>
                <w:u w:val="single"/>
              </w:rPr>
              <w:t>-</w:t>
            </w:r>
            <w:r>
              <w:rPr>
                <w:rFonts w:hint="eastAsia" w:ascii="宋体" w:hAnsi="宋体"/>
                <w:b/>
                <w:bCs/>
                <w:szCs w:val="21"/>
                <w:u w:val="single"/>
                <w:lang w:val="en-US" w:eastAsia="zh-CN"/>
              </w:rPr>
              <w:t>07</w:t>
            </w:r>
            <w:r>
              <w:rPr>
                <w:rFonts w:hint="eastAsia" w:ascii="宋体" w:hAnsi="宋体"/>
                <w:b/>
                <w:bCs/>
                <w:szCs w:val="21"/>
                <w:u w:val="single"/>
              </w:rPr>
              <w:t>-</w:t>
            </w:r>
            <w:r>
              <w:rPr>
                <w:rFonts w:hint="eastAsia" w:ascii="宋体" w:hAnsi="宋体"/>
                <w:b/>
                <w:bCs/>
                <w:szCs w:val="21"/>
                <w:u w:val="single"/>
                <w:lang w:val="en-US" w:eastAsia="zh-CN"/>
              </w:rPr>
              <w:t>07</w:t>
            </w:r>
            <w:r>
              <w:rPr>
                <w:rFonts w:hint="eastAsia" w:ascii="宋体" w:hAnsi="宋体"/>
                <w:b/>
                <w:bCs/>
                <w:szCs w:val="21"/>
                <w:u w:val="single"/>
              </w:rPr>
              <w:t>，结论：控制有效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《验证结果分析报告》，20</w:t>
            </w:r>
            <w:r>
              <w:rPr>
                <w:rFonts w:ascii="宋体" w:hAnsi="宋体"/>
                <w:b/>
                <w:bCs/>
                <w:szCs w:val="21"/>
                <w:u w:val="single"/>
              </w:rPr>
              <w:t>21</w:t>
            </w:r>
            <w:r>
              <w:rPr>
                <w:rFonts w:hint="eastAsia" w:ascii="宋体" w:hAnsi="宋体"/>
                <w:b/>
                <w:bCs/>
                <w:szCs w:val="21"/>
                <w:u w:val="single"/>
              </w:rPr>
              <w:t>-</w:t>
            </w:r>
            <w:r>
              <w:rPr>
                <w:rFonts w:hint="eastAsia" w:ascii="宋体" w:hAnsi="宋体"/>
                <w:b/>
                <w:bCs/>
                <w:szCs w:val="21"/>
                <w:u w:val="single"/>
                <w:lang w:val="en-US" w:eastAsia="zh-CN"/>
              </w:rPr>
              <w:t>07-20</w:t>
            </w:r>
            <w:bookmarkStart w:id="0" w:name="_GoBack"/>
            <w:bookmarkEnd w:id="0"/>
            <w:r>
              <w:rPr>
                <w:rFonts w:hint="eastAsia" w:ascii="宋体" w:hAnsi="宋体"/>
                <w:b/>
                <w:bCs/>
                <w:szCs w:val="21"/>
                <w:u w:val="single"/>
              </w:rPr>
              <w:t>，结论：控制有效。</w:t>
            </w:r>
          </w:p>
          <w:p/>
        </w:tc>
        <w:tc>
          <w:tcPr>
            <w:tcW w:w="17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22" w:type="dxa"/>
            <w:vMerge w:val="restart"/>
          </w:tcPr>
          <w:p>
            <w:r>
              <w:t>分析与评价</w:t>
            </w:r>
          </w:p>
        </w:tc>
        <w:tc>
          <w:tcPr>
            <w:tcW w:w="996" w:type="dxa"/>
            <w:vMerge w:val="restart"/>
          </w:tcPr>
          <w:p>
            <w:r>
              <w:t>F9.1.2</w:t>
            </w:r>
          </w:p>
        </w:tc>
        <w:tc>
          <w:tcPr>
            <w:tcW w:w="745" w:type="dxa"/>
          </w:tcPr>
          <w:p>
            <w:r>
              <w:t>文件名称</w:t>
            </w:r>
          </w:p>
        </w:tc>
        <w:tc>
          <w:tcPr>
            <w:tcW w:w="9524" w:type="dxa"/>
          </w:tcPr>
          <w:p>
            <w:r>
              <w:t>如：</w:t>
            </w:r>
            <w:r>
              <w:rPr/>
              <w:sym w:font="Wingdings" w:char="00FE"/>
            </w:r>
            <w:r>
              <w:rPr>
                <w:rFonts w:hint="eastAsia"/>
                <w:lang w:val="en-US" w:eastAsia="zh-CN"/>
              </w:rPr>
              <w:t>管理手册第9章、</w:t>
            </w:r>
            <w:r>
              <w:rPr/>
              <w:sym w:font="Wingdings" w:char="00A8"/>
            </w:r>
            <w:r>
              <w:t>《产品监视和测量控制程序》</w:t>
            </w:r>
            <w:r>
              <w:rPr>
                <w:rFonts w:hint="eastAsia"/>
              </w:rPr>
              <w:t xml:space="preserve"> </w:t>
            </w:r>
            <w:r>
              <w:rPr>
                <w:rFonts w:hint="eastAsia" w:ascii="Segoe UI Emoji" w:hAnsi="Segoe UI Emoji" w:cs="Segoe UI Emoji"/>
                <w:color w:val="000000"/>
                <w:szCs w:val="21"/>
                <w:lang w:eastAsia="zh-CN"/>
              </w:rPr>
              <w:t>□</w:t>
            </w:r>
            <w:r>
              <w:t xml:space="preserve"> </w:t>
            </w:r>
            <w:r>
              <w:rPr>
                <w:rFonts w:hint="eastAsia"/>
              </w:rPr>
              <w:t>《监视和测量设备控制程序》</w:t>
            </w:r>
          </w:p>
        </w:tc>
        <w:tc>
          <w:tcPr>
            <w:tcW w:w="1776"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22" w:type="dxa"/>
            <w:vMerge w:val="continue"/>
          </w:tcPr>
          <w:p/>
        </w:tc>
        <w:tc>
          <w:tcPr>
            <w:tcW w:w="996" w:type="dxa"/>
            <w:vMerge w:val="continue"/>
          </w:tcPr>
          <w:p/>
        </w:tc>
        <w:tc>
          <w:tcPr>
            <w:tcW w:w="745" w:type="dxa"/>
          </w:tcPr>
          <w:p>
            <w:r>
              <w:t>运行证据</w:t>
            </w:r>
          </w:p>
        </w:tc>
        <w:tc>
          <w:tcPr>
            <w:tcW w:w="9524"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pPr>
              <w:rPr>
                <w:rFonts w:hint="default" w:eastAsia="宋体"/>
                <w:lang w:val="en-US" w:eastAsia="zh-CN"/>
              </w:rPr>
            </w:pPr>
            <w:r>
              <w:rPr>
                <w:color w:val="000000"/>
                <w:szCs w:val="21"/>
              </w:rPr>
              <w:t>□因果图 □柱状图 □ 饼状图 □SPC图 □排列图</w:t>
            </w:r>
            <w:r>
              <w:rPr>
                <w:rFonts w:hint="eastAsia"/>
                <w:lang w:eastAsia="zh-CN"/>
              </w:rP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776" w:type="dxa"/>
            <w:vMerge w:val="continue"/>
          </w:tcPr>
          <w:p/>
        </w:tc>
      </w:tr>
    </w:tbl>
    <w:p>
      <w:pPr>
        <w:pStyle w:val="4"/>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71755</wp:posOffset>
          </wp:positionH>
          <wp:positionV relativeFrom="paragraph">
            <wp:posOffset>-3810</wp:posOffset>
          </wp:positionV>
          <wp:extent cx="481330" cy="484505"/>
          <wp:effectExtent l="0" t="0" r="1270" b="1079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985"/>
    <w:rsid w:val="000237F6"/>
    <w:rsid w:val="0002718B"/>
    <w:rsid w:val="00032DC1"/>
    <w:rsid w:val="0003373A"/>
    <w:rsid w:val="00036635"/>
    <w:rsid w:val="000400E2"/>
    <w:rsid w:val="00045C8E"/>
    <w:rsid w:val="00051F14"/>
    <w:rsid w:val="000622D8"/>
    <w:rsid w:val="00062E46"/>
    <w:rsid w:val="00085B31"/>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A2D7F"/>
    <w:rsid w:val="001A520F"/>
    <w:rsid w:val="001B505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817B4"/>
    <w:rsid w:val="00290D09"/>
    <w:rsid w:val="002939AD"/>
    <w:rsid w:val="002A5E14"/>
    <w:rsid w:val="002B2743"/>
    <w:rsid w:val="002C57E3"/>
    <w:rsid w:val="002D0D56"/>
    <w:rsid w:val="002E0D29"/>
    <w:rsid w:val="002E64B1"/>
    <w:rsid w:val="002F6900"/>
    <w:rsid w:val="003108C2"/>
    <w:rsid w:val="0031144F"/>
    <w:rsid w:val="00314AF6"/>
    <w:rsid w:val="00337922"/>
    <w:rsid w:val="00340867"/>
    <w:rsid w:val="0034417D"/>
    <w:rsid w:val="0035165A"/>
    <w:rsid w:val="00353F23"/>
    <w:rsid w:val="00355370"/>
    <w:rsid w:val="00362665"/>
    <w:rsid w:val="00363690"/>
    <w:rsid w:val="00380837"/>
    <w:rsid w:val="00383139"/>
    <w:rsid w:val="00383328"/>
    <w:rsid w:val="00387502"/>
    <w:rsid w:val="00395ED2"/>
    <w:rsid w:val="003A198A"/>
    <w:rsid w:val="003C0E3C"/>
    <w:rsid w:val="003E385C"/>
    <w:rsid w:val="003F2216"/>
    <w:rsid w:val="004005B6"/>
    <w:rsid w:val="004060C4"/>
    <w:rsid w:val="00406ED5"/>
    <w:rsid w:val="00407675"/>
    <w:rsid w:val="00410914"/>
    <w:rsid w:val="004177C7"/>
    <w:rsid w:val="0043137D"/>
    <w:rsid w:val="00440C34"/>
    <w:rsid w:val="004411C2"/>
    <w:rsid w:val="004422D7"/>
    <w:rsid w:val="00451891"/>
    <w:rsid w:val="0045264D"/>
    <w:rsid w:val="0045550A"/>
    <w:rsid w:val="00455F49"/>
    <w:rsid w:val="0047098E"/>
    <w:rsid w:val="004724DC"/>
    <w:rsid w:val="0047373D"/>
    <w:rsid w:val="004778AF"/>
    <w:rsid w:val="00481596"/>
    <w:rsid w:val="0048201E"/>
    <w:rsid w:val="00487902"/>
    <w:rsid w:val="00490BC4"/>
    <w:rsid w:val="004932D5"/>
    <w:rsid w:val="004A59B4"/>
    <w:rsid w:val="004A7F65"/>
    <w:rsid w:val="004B2CE4"/>
    <w:rsid w:val="004B6333"/>
    <w:rsid w:val="004C0228"/>
    <w:rsid w:val="004C1D69"/>
    <w:rsid w:val="004D373F"/>
    <w:rsid w:val="004E47C7"/>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32EF0"/>
    <w:rsid w:val="00644FE2"/>
    <w:rsid w:val="00655371"/>
    <w:rsid w:val="00657054"/>
    <w:rsid w:val="00657154"/>
    <w:rsid w:val="00675D39"/>
    <w:rsid w:val="0067640C"/>
    <w:rsid w:val="006C32C8"/>
    <w:rsid w:val="006C506D"/>
    <w:rsid w:val="006D70E8"/>
    <w:rsid w:val="006E018B"/>
    <w:rsid w:val="006E4FD7"/>
    <w:rsid w:val="006E678B"/>
    <w:rsid w:val="006E7B1D"/>
    <w:rsid w:val="006F520F"/>
    <w:rsid w:val="00700943"/>
    <w:rsid w:val="007030C6"/>
    <w:rsid w:val="007053BE"/>
    <w:rsid w:val="00711E3B"/>
    <w:rsid w:val="00721965"/>
    <w:rsid w:val="007365BB"/>
    <w:rsid w:val="00741BE3"/>
    <w:rsid w:val="00751775"/>
    <w:rsid w:val="00760598"/>
    <w:rsid w:val="00765A8D"/>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E585E"/>
    <w:rsid w:val="009F7EED"/>
    <w:rsid w:val="00A015D3"/>
    <w:rsid w:val="00A15506"/>
    <w:rsid w:val="00A1684C"/>
    <w:rsid w:val="00A217B4"/>
    <w:rsid w:val="00A22485"/>
    <w:rsid w:val="00A27D10"/>
    <w:rsid w:val="00A35BB7"/>
    <w:rsid w:val="00A41D8A"/>
    <w:rsid w:val="00A434A9"/>
    <w:rsid w:val="00A45217"/>
    <w:rsid w:val="00A521F0"/>
    <w:rsid w:val="00A65AD6"/>
    <w:rsid w:val="00A80636"/>
    <w:rsid w:val="00A87338"/>
    <w:rsid w:val="00AA5A5E"/>
    <w:rsid w:val="00AA7B5B"/>
    <w:rsid w:val="00AB4835"/>
    <w:rsid w:val="00AB4939"/>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3768"/>
    <w:rsid w:val="00C72A05"/>
    <w:rsid w:val="00C77034"/>
    <w:rsid w:val="00CA4D28"/>
    <w:rsid w:val="00CD1EE8"/>
    <w:rsid w:val="00CD5E58"/>
    <w:rsid w:val="00CE315A"/>
    <w:rsid w:val="00CE7ECB"/>
    <w:rsid w:val="00D05EE9"/>
    <w:rsid w:val="00D06F59"/>
    <w:rsid w:val="00D128EF"/>
    <w:rsid w:val="00D25FF2"/>
    <w:rsid w:val="00D30800"/>
    <w:rsid w:val="00D35D1D"/>
    <w:rsid w:val="00D4205C"/>
    <w:rsid w:val="00D45F3F"/>
    <w:rsid w:val="00D523F5"/>
    <w:rsid w:val="00D65E0B"/>
    <w:rsid w:val="00D66E16"/>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52E7"/>
    <w:rsid w:val="00E43FFD"/>
    <w:rsid w:val="00E50004"/>
    <w:rsid w:val="00E558DE"/>
    <w:rsid w:val="00E56138"/>
    <w:rsid w:val="00E6224C"/>
    <w:rsid w:val="00E63724"/>
    <w:rsid w:val="00EA0B69"/>
    <w:rsid w:val="00EA2DF4"/>
    <w:rsid w:val="00EA37D1"/>
    <w:rsid w:val="00EB0164"/>
    <w:rsid w:val="00EB06DE"/>
    <w:rsid w:val="00EB1FF1"/>
    <w:rsid w:val="00EC1BAB"/>
    <w:rsid w:val="00ED0F62"/>
    <w:rsid w:val="00EE2B92"/>
    <w:rsid w:val="00EE3321"/>
    <w:rsid w:val="00EF40CB"/>
    <w:rsid w:val="00EF75BA"/>
    <w:rsid w:val="00F07FCC"/>
    <w:rsid w:val="00F20015"/>
    <w:rsid w:val="00F30DEE"/>
    <w:rsid w:val="00F31280"/>
    <w:rsid w:val="00F33C9D"/>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51DB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33585D"/>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E1295D"/>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0"/>
    <w:pPr>
      <w:spacing w:before="240" w:after="60" w:line="312" w:lineRule="auto"/>
      <w:jc w:val="center"/>
      <w:outlineLvl w:val="1"/>
    </w:pPr>
    <w:rPr>
      <w:rFonts w:ascii="Calibri Light" w:hAnsi="Calibri Light"/>
      <w:b/>
      <w:bCs/>
      <w:kern w:val="28"/>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 w:type="character" w:customStyle="1" w:styleId="17">
    <w:name w:val="副标题 字符"/>
    <w:basedOn w:val="9"/>
    <w:link w:val="6"/>
    <w:qFormat/>
    <w:uiPriority w:val="0"/>
    <w:rPr>
      <w:rFonts w:ascii="Calibri Light" w:hAnsi="Calibri Light"/>
      <w:b/>
      <w:bCs/>
      <w:kern w:val="28"/>
      <w:sz w:val="32"/>
      <w:szCs w:val="32"/>
    </w:rPr>
  </w:style>
  <w:style w:type="paragraph" w:customStyle="1" w:styleId="18">
    <w:name w:val="Char Char Char Char"/>
    <w:basedOn w:val="1"/>
    <w:qFormat/>
    <w:uiPriority w:val="0"/>
    <w:pPr>
      <w:widowControl/>
      <w:spacing w:after="160" w:line="240" w:lineRule="exact"/>
      <w:jc w:val="left"/>
    </w:pPr>
    <w:rPr>
      <w:szCs w:val="24"/>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Template>
  <Pages>21</Pages>
  <Words>1955</Words>
  <Characters>11144</Characters>
  <Lines>92</Lines>
  <Paragraphs>26</Paragraphs>
  <TotalTime>3</TotalTime>
  <ScaleCrop>false</ScaleCrop>
  <LinksUpToDate>false</LinksUpToDate>
  <CharactersWithSpaces>13073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2021-12-29T06:42:07Z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CC37E0779CD346A49EB1D77A1CE5BA89</vt:lpwstr>
  </property>
</Properties>
</file>