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bookmarkStart w:id="14" w:name="_GoBack"/>
      <w:bookmarkEnd w:id="14"/>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湖南金海塑胶管业有限公司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0020-2021-EO-2021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李俐</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组长</w:t>
            </w:r>
            <w:r>
              <w:rPr>
                <w:rFonts w:hint="eastAsia"/>
                <w:sz w:val="20"/>
                <w:lang w:val="en-US" w:eastAsia="zh-CN"/>
              </w:rPr>
              <w:t>A</w:t>
            </w:r>
          </w:p>
        </w:tc>
        <w:tc>
          <w:tcPr>
            <w:tcW w:w="5595" w:type="dxa"/>
            <w:gridSpan w:val="3"/>
            <w:vAlign w:val="center"/>
          </w:tcPr>
          <w:p>
            <w:pPr>
              <w:jc w:val="center"/>
              <w:rPr>
                <w:sz w:val="20"/>
                <w:lang w:val="de-DE"/>
              </w:rPr>
            </w:pPr>
            <w:r>
              <w:rPr>
                <w:sz w:val="20"/>
                <w:lang w:val="de-DE"/>
              </w:rPr>
              <w:t>2021-N1EMS-2222792</w:t>
            </w:r>
          </w:p>
          <w:p>
            <w:pPr>
              <w:jc w:val="center"/>
              <w:rPr>
                <w:sz w:val="20"/>
                <w:lang w:val="de-DE"/>
              </w:rPr>
            </w:pPr>
            <w:r>
              <w:rPr>
                <w:sz w:val="20"/>
                <w:lang w:val="de-DE"/>
              </w:rPr>
              <w:t>2021-N1OHSMS-2222792</w:t>
            </w:r>
          </w:p>
          <w:p>
            <w:pPr>
              <w:jc w:val="center"/>
              <w:rPr>
                <w:rFonts w:ascii="Times New Roman" w:hAnsi="Times New Roman" w:eastAsia="宋体" w:cs="Times New Roman"/>
                <w:kern w:val="2"/>
                <w:sz w:val="20"/>
                <w:lang w:val="de-DE" w:eastAsia="zh-CN" w:bidi="ar-SA"/>
              </w:rPr>
            </w:pPr>
            <w:r>
              <w:rPr>
                <w:sz w:val="20"/>
                <w:lang w:val="de-DE"/>
              </w:rPr>
              <w:t>2021-N1QMS-2222792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郭力</w:t>
            </w:r>
          </w:p>
        </w:tc>
        <w:tc>
          <w:tcPr>
            <w:tcW w:w="1184" w:type="dxa"/>
            <w:vAlign w:val="center"/>
          </w:tcPr>
          <w:p>
            <w:pPr>
              <w:jc w:val="center"/>
              <w:rPr>
                <w:rFonts w:hint="eastAsia" w:ascii="Times New Roman" w:hAnsi="Times New Roman" w:eastAsia="宋体" w:cs="Times New Roman"/>
                <w:kern w:val="2"/>
                <w:sz w:val="20"/>
                <w:lang w:val="en-US" w:eastAsia="zh-CN" w:bidi="ar-SA"/>
              </w:rPr>
            </w:pPr>
            <w:r>
              <w:rPr>
                <w:sz w:val="20"/>
              </w:rPr>
              <w:t>组员</w:t>
            </w:r>
            <w:r>
              <w:rPr>
                <w:rFonts w:hint="eastAsia"/>
                <w:sz w:val="20"/>
                <w:lang w:val="en-US" w:eastAsia="zh-CN"/>
              </w:rPr>
              <w:t>B</w:t>
            </w:r>
          </w:p>
        </w:tc>
        <w:tc>
          <w:tcPr>
            <w:tcW w:w="5595" w:type="dxa"/>
            <w:gridSpan w:val="3"/>
            <w:vAlign w:val="center"/>
          </w:tcPr>
          <w:p>
            <w:pPr>
              <w:jc w:val="center"/>
              <w:rPr>
                <w:sz w:val="20"/>
                <w:lang w:val="de-DE"/>
              </w:rPr>
            </w:pPr>
            <w:r>
              <w:rPr>
                <w:sz w:val="20"/>
                <w:lang w:val="de-DE"/>
              </w:rPr>
              <w:t>2020-N1EMS-1263290</w:t>
            </w:r>
          </w:p>
          <w:p>
            <w:pPr>
              <w:jc w:val="center"/>
              <w:rPr>
                <w:rFonts w:ascii="Times New Roman" w:hAnsi="Times New Roman" w:eastAsia="宋体" w:cs="Times New Roman"/>
                <w:kern w:val="2"/>
                <w:sz w:val="20"/>
                <w:lang w:val="de-DE" w:eastAsia="zh-CN" w:bidi="ar-SA"/>
              </w:rPr>
            </w:pPr>
            <w:r>
              <w:rPr>
                <w:sz w:val="20"/>
                <w:lang w:val="de-DE"/>
              </w:rPr>
              <w:t>2021-N1QMS-1263290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19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2021.12.29</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2021.12.30</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2021.12.30</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990" w:firstLineChars="550"/>
      <w:jc w:val="left"/>
      <w:rPr>
        <w:rStyle w:val="9"/>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885" w:firstLineChars="492"/>
      <w:jc w:val="left"/>
    </w:pPr>
    <w:r>
      <w:pict>
        <v:shape id="_x0000_s4098" o:spid="_x0000_s4098"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8"/>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5937693"/>
    <w:rsid w:val="44A3475A"/>
    <w:rsid w:val="46FB51BE"/>
    <w:rsid w:val="765332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qFormat/>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107</Words>
  <Characters>612</Characters>
  <Lines>5</Lines>
  <Paragraphs>1</Paragraphs>
  <TotalTime>0</TotalTime>
  <ScaleCrop>false</ScaleCrop>
  <LinksUpToDate>false</LinksUpToDate>
  <CharactersWithSpaces>718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郭力</cp:lastModifiedBy>
  <dcterms:modified xsi:type="dcterms:W3CDTF">2022-02-23T02:02:06Z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2052-11.1.0.11365</vt:lpwstr>
  </property>
</Properties>
</file>