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湖南金海塑胶管业有限公司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原材料验收→备料→混料→挤出成型→裁断→检验→入库。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关键过程</w:t>
            </w:r>
            <w:r>
              <w:rPr>
                <w:rFonts w:hint="eastAsia"/>
                <w:sz w:val="20"/>
              </w:rPr>
              <w:t>：挤出成型过程，</w:t>
            </w:r>
            <w:r>
              <w:rPr>
                <w:sz w:val="20"/>
              </w:rPr>
              <w:t>需严格按照作业指导书生产</w:t>
            </w:r>
            <w:r>
              <w:rPr>
                <w:rFonts w:hint="eastAsia"/>
                <w:sz w:val="20"/>
              </w:rPr>
              <w:t>，重点</w:t>
            </w:r>
            <w:r>
              <w:rPr>
                <w:sz w:val="20"/>
              </w:rPr>
              <w:t>控制温度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压力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时间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重大环境因素：火灾，噪声排放，废气排放，固废排放；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重大危险源：人身伤害、触电、火灾；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中华人民共和国产品质量法、环保法、安全生产法，地下通信管道用塑料管 第2部分实壁管YD/T841.2-2016，建筑排水用硬聚乙烯（PVC-U）管材 GB/T5836.1-2006，建筑排水用硬聚乙烯（PVC-U）管件 GB/T5836.2-2006，GB/T13663.2 -2018《给水用聚乙烯(PE) 管道系统第2部分:管材》，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外观、规格尺寸、性能等，无型式试验要求。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9" w:name="_GoBack"/>
      <w:bookmarkEnd w:id="9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8FE6968"/>
    <w:rsid w:val="5A411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2021-12-29T00:59:37Z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