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rFonts w:hint="eastAsia" w:cs="宋体"/>
                <w:b/>
                <w:szCs w:val="21"/>
              </w:rPr>
              <w:t>广州市白云化工实业有限公司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审核内部审核检查表时发现，检查表的记录中缺少抽样的描述，审核发现不能追溯，内审员内审知识需要继续提高。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审核时发现：2020年公司的能源目标为35.8kgce/t，实际完成为35.4kgce/t；2021年的能源目标为35.8kgce/t，实际完成为35.2kgce/t；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2022年的能源目标为35.8kgce/t。目标制定体现不出持续改进的要求。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bookmarkStart w:id="13" w:name="_GoBack"/>
            <w:bookmarkEnd w:id="13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D9F577D"/>
    <w:rsid w:val="635115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Lenovo</cp:lastModifiedBy>
  <dcterms:modified xsi:type="dcterms:W3CDTF">2022-02-17T06:36:35Z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2052-11.1.0.10667</vt:lpwstr>
  </property>
</Properties>
</file>