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177"/>
        <w:gridCol w:w="1357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四川科度实业有限公司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Q：33.03.01;34.01.01;34.01.02;34.06.00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E：33.03.01;34.01.01;34.01.02;34.06.00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O：33.03.01;34.01.01;34.01.02;34.06.00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石生安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Q：33.03.01;34.01.01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测绘服务、土地调查、自然资源调查：合同签订→收集资料→现场测绘→编制、绘图→编制项目报告（文本、图件）→变更（需要时）→交付客户。</w:t>
            </w:r>
          </w:p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农田工程规划设计、土地整理、土地规划、土地综合整治：合同签订→收集资料→编制、绘图→编制项目报告（文本、图件）→变更（需要时）→交付客户</w:t>
            </w:r>
          </w:p>
          <w:p>
            <w:pPr>
              <w:pStyle w:val="12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数据处理和存储支持服务：核对国家下发数据 → 开展外业核查 → 上传平台（审核）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测绘的服务过程</w:t>
            </w:r>
            <w:r>
              <w:rPr>
                <w:rFonts w:hint="eastAsia"/>
                <w:b/>
                <w:sz w:val="20"/>
                <w:lang w:val="en-US" w:eastAsia="zh-CN"/>
              </w:rPr>
              <w:t>/风险控制措施/特殊过程确认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重要环境因素：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固废的排放</w:t>
            </w:r>
            <w:r>
              <w:rPr>
                <w:rFonts w:hint="eastAsia"/>
                <w:b/>
                <w:sz w:val="20"/>
                <w:lang w:eastAsia="zh-CN"/>
              </w:rPr>
              <w:t>、废气排放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火灾、触电、交通事故、意外伤害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bookmarkStart w:id="9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-419100</wp:posOffset>
                  </wp:positionH>
                  <wp:positionV relativeFrom="paragraph">
                    <wp:posOffset>-128270</wp:posOffset>
                  </wp:positionV>
                  <wp:extent cx="7466965" cy="8633460"/>
                  <wp:effectExtent l="0" t="0" r="635" b="254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65" cy="863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9"/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161925</wp:posOffset>
                  </wp:positionV>
                  <wp:extent cx="812165" cy="275590"/>
                  <wp:effectExtent l="0" t="0" r="635" b="3810"/>
                  <wp:wrapNone/>
                  <wp:docPr id="1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8" t="9871" r="7156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EB5519"/>
    <w:rsid w:val="2DA56CC7"/>
    <w:rsid w:val="7E883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9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2022-01-10T09:23:18Z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2052-11.1.0.11294</vt:lpwstr>
  </property>
</Properties>
</file>