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u w:val="single"/>
        </w:rPr>
        <w:t>0643-2020-QEOF-2021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bookmarkStart w:id="14" w:name="_GoBack"/>
      <w:bookmarkEnd w:id="1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42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r>
              <w:rPr>
                <w:rFonts w:hint="eastAsia" w:eastAsia="隶书"/>
                <w:b/>
                <w:color w:val="000000" w:themeColor="text1"/>
                <w:sz w:val="22"/>
                <w:szCs w:val="22"/>
              </w:rPr>
              <w:t>杭州三合水产养殖场</w:t>
            </w:r>
          </w:p>
        </w:tc>
        <w:tc>
          <w:tcPr>
            <w:tcW w:w="1425"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21" w:type="dxa"/>
          </w:tcPr>
          <w:p>
            <w:pPr>
              <w:snapToGrid w:val="0"/>
              <w:spacing w:line="0" w:lineRule="atLeast"/>
              <w:jc w:val="center"/>
              <w:rPr>
                <w:rFonts w:eastAsia="隶书"/>
                <w:b/>
                <w:color w:val="000000" w:themeColor="text1"/>
                <w:sz w:val="22"/>
                <w:szCs w:val="22"/>
              </w:rPr>
            </w:pPr>
            <w:bookmarkStart w:id="1" w:name="总组长"/>
            <w:r>
              <w:rPr>
                <w:rFonts w:hint="eastAsia" w:eastAsia="隶书"/>
                <w:b/>
                <w:color w:val="000000" w:themeColor="text1"/>
                <w:sz w:val="22"/>
                <w:szCs w:val="22"/>
                <w:lang w:val="en-US" w:eastAsia="zh-CN"/>
              </w:rPr>
              <w:t>任泽华</w:t>
            </w:r>
            <w:r>
              <w:rPr>
                <w:rFonts w:eastAsia="隶书"/>
                <w:b/>
                <w:color w:val="000000" w:themeColor="text1"/>
                <w:sz w:val="22"/>
                <w:szCs w:val="22"/>
              </w:rPr>
              <w:t>，林兵</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425" w:type="dxa"/>
          </w:tcPr>
          <w:p>
            <w:pPr>
              <w:snapToGrid w:val="0"/>
              <w:spacing w:line="0" w:lineRule="atLeast"/>
              <w:jc w:val="center"/>
              <w:rPr>
                <w:sz w:val="22"/>
                <w:szCs w:val="22"/>
              </w:rPr>
            </w:pPr>
            <w:r>
              <w:rPr>
                <w:rFonts w:hint="eastAsia"/>
                <w:sz w:val="22"/>
                <w:szCs w:val="22"/>
                <w:lang w:val="en-GB"/>
              </w:rPr>
              <w:t>证书号</w:t>
            </w:r>
          </w:p>
        </w:tc>
        <w:tc>
          <w:tcPr>
            <w:tcW w:w="1921" w:type="dxa"/>
          </w:tcPr>
          <w:p>
            <w:pPr>
              <w:snapToGrid w:val="0"/>
              <w:spacing w:line="0" w:lineRule="atLeast"/>
              <w:jc w:val="both"/>
              <w:rPr>
                <w:rFonts w:hint="eastAsia"/>
                <w:sz w:val="18"/>
                <w:szCs w:val="18"/>
                <w:lang w:val="en-US" w:eastAsia="zh-CN"/>
              </w:rPr>
            </w:pPr>
            <w:r>
              <w:rPr>
                <w:rFonts w:hint="eastAsia"/>
                <w:sz w:val="18"/>
                <w:szCs w:val="18"/>
                <w:lang w:val="en-US" w:eastAsia="zh-CN"/>
              </w:rPr>
              <w:t>Q:ISC-Q-2020-1191</w:t>
            </w:r>
          </w:p>
          <w:p>
            <w:pPr>
              <w:pStyle w:val="2"/>
              <w:rPr>
                <w:rFonts w:hint="eastAsia"/>
                <w:sz w:val="18"/>
                <w:szCs w:val="18"/>
                <w:lang w:val="en-US" w:eastAsia="zh-CN"/>
              </w:rPr>
            </w:pPr>
            <w:r>
              <w:rPr>
                <w:rFonts w:hint="eastAsia"/>
                <w:sz w:val="18"/>
                <w:szCs w:val="18"/>
                <w:lang w:val="en-US" w:eastAsia="zh-CN"/>
              </w:rPr>
              <w:t>E:ISC-E-2020-0785</w:t>
            </w:r>
          </w:p>
          <w:p>
            <w:pPr>
              <w:pStyle w:val="2"/>
              <w:rPr>
                <w:rFonts w:hint="eastAsia"/>
                <w:sz w:val="18"/>
                <w:szCs w:val="18"/>
                <w:lang w:val="en-US" w:eastAsia="zh-CN"/>
              </w:rPr>
            </w:pPr>
            <w:r>
              <w:rPr>
                <w:rFonts w:hint="eastAsia"/>
                <w:sz w:val="18"/>
                <w:szCs w:val="18"/>
                <w:lang w:val="en-US" w:eastAsia="zh-CN"/>
              </w:rPr>
              <w:t>O:ISC-O-2020-0722</w:t>
            </w:r>
          </w:p>
          <w:p>
            <w:pPr>
              <w:pStyle w:val="2"/>
              <w:rPr>
                <w:rFonts w:hint="default"/>
                <w:sz w:val="22"/>
                <w:szCs w:val="22"/>
                <w:lang w:val="en-US" w:eastAsia="zh-CN"/>
              </w:rPr>
            </w:pPr>
            <w:r>
              <w:rPr>
                <w:rFonts w:hint="eastAsia"/>
                <w:sz w:val="18"/>
                <w:szCs w:val="18"/>
                <w:lang w:val="en-US" w:eastAsia="zh-CN"/>
              </w:rPr>
              <w:t>F:197FSMS2000038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r>
              <w:rPr>
                <w:sz w:val="22"/>
                <w:szCs w:val="22"/>
              </w:rPr>
              <w:t>91330110699813717P</w:t>
            </w:r>
          </w:p>
        </w:tc>
        <w:tc>
          <w:tcPr>
            <w:tcW w:w="1425" w:type="dxa"/>
          </w:tcPr>
          <w:p>
            <w:pPr>
              <w:snapToGrid w:val="0"/>
              <w:spacing w:line="0" w:lineRule="atLeast"/>
              <w:jc w:val="center"/>
              <w:rPr>
                <w:sz w:val="22"/>
                <w:szCs w:val="22"/>
              </w:rPr>
            </w:pPr>
            <w:r>
              <w:rPr>
                <w:rFonts w:hint="eastAsia"/>
                <w:sz w:val="22"/>
                <w:szCs w:val="22"/>
              </w:rPr>
              <w:t>是否带CNAS标志</w:t>
            </w:r>
          </w:p>
        </w:tc>
        <w:tc>
          <w:tcPr>
            <w:tcW w:w="1921" w:type="dxa"/>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2" w:name="Q勾选"/>
            <w:r>
              <w:rPr>
                <w:rFonts w:hint="eastAsia"/>
                <w:sz w:val="22"/>
                <w:szCs w:val="22"/>
              </w:rPr>
              <w:t>■</w:t>
            </w:r>
            <w:bookmarkEnd w:id="2"/>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3" w:name="QJ勾选"/>
            <w:r>
              <w:rPr>
                <w:rFonts w:hint="eastAsia"/>
                <w:sz w:val="22"/>
                <w:szCs w:val="22"/>
              </w:rPr>
              <w:t>□</w:t>
            </w:r>
            <w:bookmarkEnd w:id="3"/>
            <w:r>
              <w:rPr>
                <w:rFonts w:hint="eastAsia"/>
                <w:sz w:val="22"/>
                <w:szCs w:val="22"/>
              </w:rPr>
              <w:t xml:space="preserve"> GB/T 50430-2017 (不适用：  条款)；</w:t>
            </w:r>
          </w:p>
          <w:p>
            <w:pPr>
              <w:snapToGrid w:val="0"/>
              <w:spacing w:line="0" w:lineRule="atLeast"/>
              <w:jc w:val="left"/>
              <w:rPr>
                <w:sz w:val="22"/>
                <w:szCs w:val="22"/>
              </w:rPr>
            </w:pPr>
            <w:bookmarkStart w:id="4" w:name="E勾选"/>
            <w:r>
              <w:rPr>
                <w:rFonts w:hint="eastAsia"/>
                <w:sz w:val="22"/>
                <w:szCs w:val="22"/>
              </w:rPr>
              <w:t>■</w:t>
            </w:r>
            <w:bookmarkEnd w:id="4"/>
            <w:r>
              <w:rPr>
                <w:rFonts w:hint="eastAsia"/>
                <w:sz w:val="22"/>
                <w:szCs w:val="22"/>
              </w:rPr>
              <w:t xml:space="preserve"> GB/T 24001-2016 idt ISO 14001:2015标准；</w:t>
            </w:r>
          </w:p>
          <w:p>
            <w:pPr>
              <w:snapToGrid w:val="0"/>
              <w:spacing w:line="0" w:lineRule="atLeast"/>
              <w:jc w:val="left"/>
              <w:rPr>
                <w:sz w:val="22"/>
                <w:szCs w:val="22"/>
              </w:rPr>
            </w:pPr>
            <w:bookmarkStart w:id="5" w:name="S勾选"/>
            <w:r>
              <w:rPr>
                <w:rFonts w:hint="eastAsia"/>
                <w:sz w:val="22"/>
                <w:szCs w:val="22"/>
              </w:rPr>
              <w:t>■</w:t>
            </w:r>
            <w:bookmarkEnd w:id="5"/>
            <w:r>
              <w:rPr>
                <w:rFonts w:hint="eastAsia"/>
                <w:sz w:val="22"/>
                <w:szCs w:val="22"/>
              </w:rPr>
              <w:t xml:space="preserve"> GB/T 45001-2020 idt ISO 45001:2018标准；</w:t>
            </w:r>
          </w:p>
          <w:p>
            <w:pPr>
              <w:snapToGrid w:val="0"/>
              <w:spacing w:line="0" w:lineRule="atLeast"/>
              <w:jc w:val="left"/>
              <w:rPr>
                <w:sz w:val="22"/>
                <w:szCs w:val="22"/>
              </w:rPr>
            </w:pPr>
            <w:bookmarkStart w:id="6" w:name="EnMS勾选"/>
            <w:r>
              <w:rPr>
                <w:rFonts w:hint="eastAsia"/>
                <w:sz w:val="22"/>
                <w:szCs w:val="22"/>
              </w:rPr>
              <w:t>□</w:t>
            </w:r>
            <w:bookmarkEnd w:id="6"/>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7" w:name="F勾选"/>
            <w:r>
              <w:rPr>
                <w:rFonts w:hint="eastAsia"/>
                <w:sz w:val="22"/>
                <w:szCs w:val="22"/>
              </w:rPr>
              <w:t>■</w:t>
            </w:r>
            <w:bookmarkEnd w:id="7"/>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8" w:name="H勾选"/>
            <w:r>
              <w:rPr>
                <w:rFonts w:hint="eastAsia"/>
                <w:sz w:val="22"/>
                <w:szCs w:val="22"/>
              </w:rPr>
              <w:t>□</w:t>
            </w:r>
            <w:bookmarkEnd w:id="8"/>
            <w:r>
              <w:rPr>
                <w:rFonts w:hint="eastAsia"/>
                <w:sz w:val="22"/>
                <w:szCs w:val="22"/>
              </w:rPr>
              <w:t>GB/T 27341-2009&amp;GB 14881-2013&amp;危害分析与关键控制点（HACCP体系）认证补充要求 1.0</w:t>
            </w:r>
          </w:p>
        </w:tc>
        <w:tc>
          <w:tcPr>
            <w:tcW w:w="1425" w:type="dxa"/>
          </w:tcPr>
          <w:p>
            <w:pPr>
              <w:snapToGrid w:val="0"/>
              <w:spacing w:line="0" w:lineRule="atLeast"/>
              <w:jc w:val="center"/>
              <w:rPr>
                <w:sz w:val="22"/>
                <w:szCs w:val="22"/>
              </w:rPr>
            </w:pPr>
            <w:r>
              <w:rPr>
                <w:rFonts w:hint="eastAsia"/>
                <w:sz w:val="22"/>
                <w:szCs w:val="22"/>
              </w:rPr>
              <w:t>企业体系有效人数</w:t>
            </w:r>
          </w:p>
        </w:tc>
        <w:tc>
          <w:tcPr>
            <w:tcW w:w="1921" w:type="dxa"/>
          </w:tcPr>
          <w:p>
            <w:pPr>
              <w:snapToGrid w:val="0"/>
              <w:spacing w:line="0" w:lineRule="atLeast"/>
              <w:jc w:val="center"/>
              <w:rPr>
                <w:rFonts w:hint="default" w:eastAsia="宋体"/>
                <w:sz w:val="22"/>
                <w:szCs w:val="22"/>
                <w:lang w:val="en-US" w:eastAsia="zh-CN"/>
              </w:rPr>
            </w:pPr>
            <w:bookmarkStart w:id="9" w:name="体系人数"/>
            <w:r>
              <w:rPr>
                <w:sz w:val="22"/>
                <w:szCs w:val="22"/>
              </w:rPr>
              <w:t>Q:</w:t>
            </w:r>
            <w:r>
              <w:rPr>
                <w:rFonts w:hint="eastAsia"/>
                <w:sz w:val="22"/>
                <w:szCs w:val="22"/>
                <w:lang w:val="en-US" w:eastAsia="zh-CN"/>
              </w:rPr>
              <w:t>15</w:t>
            </w:r>
            <w:r>
              <w:rPr>
                <w:sz w:val="22"/>
                <w:szCs w:val="22"/>
              </w:rPr>
              <w:t>,E:</w:t>
            </w:r>
            <w:r>
              <w:rPr>
                <w:rFonts w:hint="eastAsia"/>
                <w:sz w:val="22"/>
                <w:szCs w:val="22"/>
                <w:lang w:val="en-US" w:eastAsia="zh-CN"/>
              </w:rPr>
              <w:t>15</w:t>
            </w:r>
            <w:r>
              <w:rPr>
                <w:sz w:val="22"/>
                <w:szCs w:val="22"/>
              </w:rPr>
              <w:t>,O:</w:t>
            </w:r>
            <w:r>
              <w:rPr>
                <w:rFonts w:hint="eastAsia"/>
                <w:sz w:val="22"/>
                <w:szCs w:val="22"/>
                <w:lang w:val="en-US" w:eastAsia="zh-CN"/>
              </w:rPr>
              <w:t>15</w:t>
            </w:r>
            <w:r>
              <w:rPr>
                <w:sz w:val="22"/>
                <w:szCs w:val="22"/>
              </w:rPr>
              <w:t>,F:</w:t>
            </w:r>
            <w:bookmarkEnd w:id="9"/>
            <w:r>
              <w:rPr>
                <w:rFonts w:hint="eastAsia"/>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r>
              <w:rPr>
                <w:rFonts w:hint="eastAsia"/>
                <w:b/>
                <w:color w:val="000000" w:themeColor="text1"/>
                <w:sz w:val="22"/>
                <w:szCs w:val="22"/>
              </w:rPr>
              <w:sym w:font="Wingdings 2" w:char="00A3"/>
            </w:r>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sym w:font="Wingdings 2" w:char="00A3"/>
            </w: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r>
              <w:rPr>
                <w:rFonts w:hint="eastAsia" w:ascii="宋体" w:hAnsi="宋体" w:cs="宋体"/>
                <w:color w:val="000000"/>
                <w:kern w:val="0"/>
                <w:szCs w:val="21"/>
              </w:rPr>
              <w:t>杭州三合水产养殖场</w:t>
            </w:r>
          </w:p>
        </w:tc>
        <w:tc>
          <w:tcPr>
            <w:tcW w:w="5013" w:type="dxa"/>
            <w:gridSpan w:val="4"/>
            <w:vMerge w:val="restart"/>
          </w:tcPr>
          <w:p>
            <w:pPr>
              <w:snapToGrid w:val="0"/>
              <w:spacing w:line="0" w:lineRule="atLeast"/>
              <w:jc w:val="left"/>
              <w:rPr>
                <w:rFonts w:hint="eastAsia"/>
                <w:sz w:val="22"/>
                <w:szCs w:val="22"/>
              </w:rPr>
            </w:pPr>
            <w:r>
              <w:rPr>
                <w:rFonts w:hint="eastAsia"/>
                <w:sz w:val="22"/>
                <w:szCs w:val="22"/>
              </w:rPr>
              <w:t>O：冷冻水产品、鲜活水产品的销售 所涉及的相关职业健康安全管理活动</w:t>
            </w:r>
          </w:p>
          <w:p>
            <w:pPr>
              <w:snapToGrid w:val="0"/>
              <w:spacing w:line="0" w:lineRule="atLeast"/>
              <w:jc w:val="left"/>
              <w:rPr>
                <w:rFonts w:hint="eastAsia"/>
                <w:sz w:val="22"/>
                <w:szCs w:val="22"/>
              </w:rPr>
            </w:pPr>
            <w:r>
              <w:rPr>
                <w:rFonts w:hint="eastAsia"/>
                <w:sz w:val="22"/>
                <w:szCs w:val="22"/>
              </w:rPr>
              <w:t>E：冷冻水产品、鲜活水产品的销售 所涉及的相关环境管理活动</w:t>
            </w:r>
          </w:p>
          <w:p>
            <w:pPr>
              <w:snapToGrid w:val="0"/>
              <w:spacing w:line="0" w:lineRule="atLeast"/>
              <w:jc w:val="left"/>
              <w:rPr>
                <w:rFonts w:hint="eastAsia"/>
                <w:sz w:val="22"/>
                <w:szCs w:val="22"/>
              </w:rPr>
            </w:pPr>
            <w:r>
              <w:rPr>
                <w:rFonts w:hint="eastAsia"/>
                <w:sz w:val="22"/>
                <w:szCs w:val="22"/>
              </w:rPr>
              <w:t>Q：冷冻水产品、鲜活水产品的销售</w:t>
            </w:r>
          </w:p>
          <w:p>
            <w:pPr>
              <w:snapToGrid w:val="0"/>
              <w:spacing w:line="0" w:lineRule="atLeast"/>
              <w:jc w:val="left"/>
              <w:rPr>
                <w:sz w:val="22"/>
                <w:szCs w:val="22"/>
              </w:rPr>
            </w:pPr>
            <w:r>
              <w:rPr>
                <w:rFonts w:hint="eastAsia"/>
                <w:sz w:val="22"/>
                <w:szCs w:val="22"/>
              </w:rPr>
              <w:t>F：位于浙江省杭州市余杭区良渚街道新港村杭州三合水产养殖场分拣中心的冷冻水产品、鲜活水产品的销售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生产地址"/>
            <w:r>
              <w:rPr>
                <w:rFonts w:ascii="宋体" w:hAnsi="宋体" w:cs="宋体"/>
                <w:color w:val="000000"/>
                <w:kern w:val="0"/>
                <w:szCs w:val="21"/>
              </w:rPr>
              <w:t>浙江省杭州市余杭区良渚街道新港村</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ascii="宋体" w:hAnsi="宋体" w:cs="宋体"/>
                <w:color w:val="000000"/>
                <w:kern w:val="0"/>
                <w:szCs w:val="21"/>
              </w:rPr>
              <w:t>浙江省杭州市余杭区良渚街道新港村</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eastAsia="宋体"/>
                <w:sz w:val="22"/>
                <w:szCs w:val="22"/>
                <w:lang w:val="en-US" w:eastAsia="zh-CN"/>
              </w:rPr>
            </w:pP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rFonts w:hint="eastAsia"/>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25" w:type="dxa"/>
          </w:tcPr>
          <w:p>
            <w:pPr>
              <w:snapToGrid w:val="0"/>
              <w:spacing w:line="0" w:lineRule="atLeast"/>
              <w:jc w:val="left"/>
              <w:rPr>
                <w:sz w:val="22"/>
                <w:szCs w:val="22"/>
              </w:rPr>
            </w:pPr>
            <w:r>
              <w:rPr>
                <w:rFonts w:hint="eastAsia"/>
                <w:sz w:val="22"/>
                <w:szCs w:val="18"/>
              </w:rPr>
              <w:t>审核组长签字</w:t>
            </w:r>
          </w:p>
        </w:tc>
        <w:tc>
          <w:tcPr>
            <w:tcW w:w="1921" w:type="dxa"/>
          </w:tcPr>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Helvetica">
    <w:panose1 w:val="020B0604020202030204"/>
    <w:charset w:val="00"/>
    <w:family w:val="auto"/>
    <w:pitch w:val="default"/>
    <w:sig w:usb0="00000000" w:usb1="00000000" w:usb2="00000000" w:usb3="00000000" w:csb0="00000093"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2287C88"/>
    <w:rsid w:val="45D966B7"/>
    <w:rsid w:val="7F316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qFormat/>
    <w:uiPriority w:val="0"/>
    <w:pPr>
      <w:snapToGrid w:val="0"/>
      <w:spacing w:line="336" w:lineRule="auto"/>
      <w:ind w:firstLine="630"/>
    </w:pPr>
    <w:rPr>
      <w:sz w:val="32"/>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2021-12-28T07:32:10Z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