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关键过程：咨询服务。</w:t>
            </w:r>
            <w:r>
              <w:rPr>
                <w:rFonts w:hint="eastAsia"/>
                <w:b/>
                <w:sz w:val="20"/>
                <w:lang w:val="en-US" w:eastAsia="zh-CN"/>
              </w:rPr>
              <w:t>通过《</w:t>
            </w:r>
            <w:r>
              <w:rPr>
                <w:rFonts w:hint="eastAsia"/>
                <w:b/>
                <w:sz w:val="20"/>
              </w:rPr>
              <w:t>工程项目咨询过程控制程序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》和《咨询过程控制制度》、《</w:t>
            </w:r>
            <w:r>
              <w:rPr>
                <w:rFonts w:hint="eastAsia"/>
                <w:lang w:val="en-US" w:eastAsia="zh-CN"/>
              </w:rPr>
              <w:t>报告检查方法与标准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》控制，达到客户目标和满足客户要求。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特殊过程：咨询服务。</w:t>
            </w:r>
            <w:r>
              <w:rPr>
                <w:rFonts w:hint="eastAsia"/>
                <w:b/>
                <w:sz w:val="20"/>
                <w:lang w:val="en-US" w:eastAsia="zh-CN"/>
              </w:rPr>
              <w:t>通过特殊过程确认达到控制要求。主要是对设备和人员能力的确认。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《中华人民共和国招标投标法》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《中华人民共和国政府采购法》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《中华人民共和国合同法》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《工程建设项目施工招标投标办法》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《工程建设项目货物招标投标办法》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《必须招标的工程项目规定》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GB/Z 40846-2021  工程咨询 基本术语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50852-2013建设工程咨询分类标准(附条文说明)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T/CCIAT 0024-2020全过程工程咨询服务管理标准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固体废弃物</w:t>
            </w:r>
            <w:r>
              <w:rPr>
                <w:rFonts w:hint="eastAsia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潜在火灾。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控制措施：潜在火灾：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日常控制、应急预案。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固体废弃物：</w:t>
            </w:r>
            <w:r>
              <w:rPr>
                <w:rFonts w:hint="eastAsia" w:ascii="宋体" w:hAnsi="宋体"/>
                <w:sz w:val="21"/>
                <w:szCs w:val="21"/>
              </w:rPr>
              <w:t>1.购置分类箱，划分存放区域.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2.可回收类（废包材、废纸、废塑料等）由办公室统一收集给废品收购部门.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3.不可回收类（生活垃圾）办公区由公司所在地附近环卫站日清.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ascii="宋体" w:hAnsi="宋体" w:eastAsia="宋体" w:cs="Tahoma"/>
                <w:bCs/>
                <w:color w:val="000000"/>
                <w:kern w:val="2"/>
                <w:lang w:val="zh-CN"/>
              </w:rPr>
              <w:t xml:space="preserve">陕西省地下水条例 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陕西省消防条例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西安市大气污染防治条例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西安市生活垃圾分类管理办法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城市生活垃圾管理办法</w:t>
            </w:r>
            <w:r>
              <w:rPr>
                <w:rFonts w:hint="eastAsia"/>
                <w:b/>
                <w:sz w:val="20"/>
                <w:lang w:eastAsia="zh-CN"/>
              </w:rPr>
              <w:t>》《</w:t>
            </w:r>
            <w:r>
              <w:rPr>
                <w:rFonts w:hint="eastAsia"/>
                <w:szCs w:val="21"/>
              </w:rPr>
              <w:t>建设项目环境保护管理条例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/>
                <w:b/>
                <w:sz w:val="20"/>
                <w:lang w:eastAsia="zh-CN"/>
              </w:rPr>
              <w:t>潜在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触电。</w:t>
            </w:r>
          </w:p>
          <w:p>
            <w:pPr>
              <w:pStyle w:val="2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</w:t>
            </w:r>
            <w:r>
              <w:rPr>
                <w:rFonts w:hint="eastAsia"/>
                <w:b/>
                <w:sz w:val="20"/>
                <w:lang w:val="en-US" w:eastAsia="zh-CN"/>
              </w:rPr>
              <w:t>火灾控制措施见上边；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触电：</w:t>
            </w:r>
            <w:r>
              <w:rPr>
                <w:rFonts w:hint="eastAsia" w:ascii="宋体" w:hAnsi="宋体" w:cs="宋体"/>
                <w:kern w:val="0"/>
                <w:szCs w:val="21"/>
              </w:rPr>
              <w:t>认真作好每日线路、设备巡检检查，严禁私拉乱接；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更换已损坏的配电箱、电源开关和漏电保护器；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增加和添补用电安全标识；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电器设备和线路严禁非专业人员进行修理；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电器线路材料严禁采购三无产品和国家淘汰产品；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中华人民共和国消防法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中华人民共和国职业病防治法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中华人民共和国传染病防治法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中华人民共和国社会保险法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中华人民共和国精神卫生法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》《</w:t>
            </w:r>
            <w:r>
              <w:rPr>
                <w:rFonts w:ascii="宋体" w:hAnsi="宋体" w:cs="宋体"/>
                <w:kern w:val="0"/>
                <w:szCs w:val="21"/>
              </w:rPr>
              <w:t>职业病危害因素分类目录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消防安全标志第一部分：标志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用人单位劳动防护用品管理规范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C63"/>
    <w:multiLevelType w:val="multilevel"/>
    <w:tmpl w:val="3FA14C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F8120C3"/>
    <w:rsid w:val="51DD7CCD"/>
    <w:rsid w:val="78FE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2022-02-15T07:14:15Z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