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0105-2017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大庆市海兴石油科技发展有限公司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HX-001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U=0.01mmK=2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177707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l=1.0%K=2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HB=3000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标准布氏硬度块213HBW10/3000U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=1.4% K=2 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带表外卡规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2111298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60-80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量块0.5μm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ln(K=2.58)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4040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HRC-150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U=1.2HRCK=2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标准洛氏硬度块U=（0.38-0.7）HRK=2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断口图像分析仪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20180901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CST-50-II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标准玻璃线纹尺2等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  <w:shd w:val="clear" w:color="auto" w:fill="FFFFFF" w:themeFill="background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</w:rPr>
              <w:t>及《深圳中电计量测试技术有限公司》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58800" cy="407035"/>
                  <wp:effectExtent l="0" t="0" r="0" b="12065"/>
                  <wp:docPr id="1" name="图片 1" descr="7e82e69403cd67122b12b12141e5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e82e69403cd67122b12b12141e5e9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793" t="59875" r="55748" b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36358"/>
    <w:rsid w:val="4F756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2021-12-27T07:43:34Z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98E3F49A96C44963892101262FE35576</vt:lpwstr>
  </property>
</Properties>
</file>