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1"/>
        <w:gridCol w:w="957"/>
        <w:gridCol w:w="2"/>
        <w:gridCol w:w="743"/>
        <w:gridCol w:w="2"/>
        <w:gridCol w:w="9256"/>
        <w:gridCol w:w="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4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gridSpan w:val="3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1" w:type="dxa"/>
            <w:gridSpan w:val="3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受审核部门：领导层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负责人：庄树群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林敏珠</w:t>
            </w:r>
          </w:p>
        </w:tc>
        <w:tc>
          <w:tcPr>
            <w:tcW w:w="1589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4" w:type="dxa"/>
            <w:vMerge w:val="continue"/>
            <w:vAlign w:val="center"/>
          </w:tcPr>
          <w:p/>
        </w:tc>
        <w:tc>
          <w:tcPr>
            <w:tcW w:w="960" w:type="dxa"/>
            <w:gridSpan w:val="3"/>
            <w:vMerge w:val="continue"/>
            <w:vAlign w:val="center"/>
          </w:tcPr>
          <w:p/>
        </w:tc>
        <w:tc>
          <w:tcPr>
            <w:tcW w:w="10001" w:type="dxa"/>
            <w:gridSpan w:val="3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22-02-10</w:t>
            </w:r>
          </w:p>
        </w:tc>
        <w:tc>
          <w:tcPr>
            <w:tcW w:w="158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4" w:type="dxa"/>
            <w:vMerge w:val="continue"/>
            <w:vAlign w:val="center"/>
          </w:tcPr>
          <w:p/>
        </w:tc>
        <w:tc>
          <w:tcPr>
            <w:tcW w:w="960" w:type="dxa"/>
            <w:gridSpan w:val="3"/>
            <w:vMerge w:val="continue"/>
            <w:vAlign w:val="center"/>
          </w:tcPr>
          <w:p/>
        </w:tc>
        <w:tc>
          <w:tcPr>
            <w:tcW w:w="10001" w:type="dxa"/>
            <w:gridSpan w:val="3"/>
            <w:vAlign w:val="center"/>
          </w:tcPr>
          <w:p>
            <w:pPr>
              <w:tabs>
                <w:tab w:val="left" w:pos="709"/>
              </w:tabs>
              <w:ind w:right="57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审核条款：F：4.1/4.2/4.3/4.4/5.1/5.2/5.3/6.1/6.2/6.3/7.1.1</w:t>
            </w:r>
            <w:r>
              <w:rPr>
                <w:rFonts w:hint="eastAsia"/>
                <w:sz w:val="24"/>
                <w:szCs w:val="24"/>
                <w:highlight w:val="none"/>
              </w:rPr>
              <w:t>/</w:t>
            </w:r>
            <w:r>
              <w:rPr>
                <w:rFonts w:hint="eastAsia"/>
                <w:sz w:val="24"/>
                <w:szCs w:val="24"/>
              </w:rPr>
              <w:t>7.1.5/9.1.1/9.2/9.3/10.1/10.2/10.3</w:t>
            </w:r>
          </w:p>
        </w:tc>
        <w:tc>
          <w:tcPr>
            <w:tcW w:w="158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>理解组织及其环境</w:t>
            </w:r>
          </w:p>
        </w:tc>
        <w:tc>
          <w:tcPr>
            <w:tcW w:w="960" w:type="dxa"/>
            <w:gridSpan w:val="3"/>
            <w:vMerge w:val="restart"/>
          </w:tcPr>
          <w:p>
            <w:r>
              <w:rPr>
                <w:rFonts w:hint="eastAsia"/>
              </w:rPr>
              <w:t>F4.1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>
            <w:r>
              <w:rPr>
                <w:rFonts w:hint="eastAsia"/>
              </w:rPr>
              <w:t>如：</w:t>
            </w:r>
            <w:r>
              <w:t xml:space="preserve"> 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管理手册第4.1章、</w:t>
            </w:r>
            <w:r>
              <w:rPr/>
              <w:sym w:font="Wingdings" w:char="00A8"/>
            </w:r>
            <w:r>
              <w:rPr>
                <w:rFonts w:hint="eastAsia"/>
              </w:rPr>
              <w:t>组织内外部环境要素识别表、</w:t>
            </w:r>
            <w:r>
              <w:rPr/>
              <w:sym w:font="Wingdings" w:char="00A8"/>
            </w:r>
            <w:r>
              <w:rPr>
                <w:rFonts w:hint="eastAsia"/>
              </w:rPr>
              <w:t>《公司环境分析控制程序 》</w:t>
            </w:r>
          </w:p>
        </w:tc>
        <w:tc>
          <w:tcPr>
            <w:tcW w:w="1589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gridSpan w:val="3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与最高管理者沟通：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组织的环境：</w:t>
            </w:r>
          </w:p>
          <w:tbl>
            <w:tblPr>
              <w:tblStyle w:val="8"/>
              <w:tblW w:w="85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7"/>
              <w:gridCol w:w="73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外部环境</w:t>
                  </w:r>
                </w:p>
              </w:tc>
              <w:tc>
                <w:tcPr>
                  <w:tcW w:w="737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fldChar w:fldCharType="begin"/>
                  </w:r>
                  <w:r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1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szCs w:val="21"/>
                    </w:rPr>
                    <w:fldChar w:fldCharType="end"/>
                  </w:r>
                  <w:r>
                    <w:rPr>
                      <w:rFonts w:hint="eastAsia"/>
                      <w:szCs w:val="21"/>
                    </w:rPr>
                    <w:t xml:space="preserve">法律法规 □技术 </w:t>
                  </w:r>
                  <w:r>
                    <w:rPr>
                      <w:rFonts w:ascii="宋体" w:hAnsi="宋体"/>
                      <w:szCs w:val="21"/>
                    </w:rPr>
                    <w:fldChar w:fldCharType="begin"/>
                  </w:r>
                  <w:r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1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szCs w:val="21"/>
                    </w:rPr>
                    <w:fldChar w:fldCharType="end"/>
                  </w:r>
                  <w:r>
                    <w:rPr>
                      <w:rFonts w:hint="eastAsia"/>
                      <w:szCs w:val="21"/>
                    </w:rPr>
                    <w:t xml:space="preserve">竞争 </w:t>
                  </w:r>
                  <w:r>
                    <w:rPr>
                      <w:rFonts w:ascii="宋体" w:hAnsi="宋体"/>
                      <w:szCs w:val="21"/>
                    </w:rPr>
                    <w:fldChar w:fldCharType="begin"/>
                  </w:r>
                  <w:r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1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szCs w:val="21"/>
                    </w:rPr>
                    <w:fldChar w:fldCharType="end"/>
                  </w:r>
                  <w:r>
                    <w:rPr>
                      <w:rFonts w:hint="eastAsia"/>
                      <w:szCs w:val="21"/>
                    </w:rPr>
                    <w:t xml:space="preserve">市场 </w:t>
                  </w:r>
                  <w:r>
                    <w:rPr>
                      <w:rFonts w:ascii="宋体" w:hAnsi="宋体"/>
                      <w:szCs w:val="21"/>
                    </w:rPr>
                    <w:fldChar w:fldCharType="begin"/>
                  </w:r>
                  <w:r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1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szCs w:val="21"/>
                    </w:rPr>
                    <w:fldChar w:fldCharType="end"/>
                  </w:r>
                  <w:r>
                    <w:rPr>
                      <w:rFonts w:hint="eastAsia"/>
                      <w:szCs w:val="21"/>
                    </w:rPr>
                    <w:t xml:space="preserve">文化 </w:t>
                  </w:r>
                  <w:r>
                    <w:rPr>
                      <w:rFonts w:ascii="宋体" w:hAnsi="宋体"/>
                      <w:szCs w:val="21"/>
                    </w:rPr>
                    <w:fldChar w:fldCharType="begin"/>
                  </w:r>
                  <w:r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1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szCs w:val="21"/>
                    </w:rPr>
                    <w:fldChar w:fldCharType="end"/>
                  </w:r>
                  <w:r>
                    <w:rPr>
                      <w:rFonts w:hint="eastAsia"/>
                      <w:szCs w:val="21"/>
                    </w:rPr>
                    <w:t xml:space="preserve">社会 </w:t>
                  </w:r>
                  <w:r>
                    <w:rPr>
                      <w:rFonts w:ascii="宋体" w:hAnsi="宋体"/>
                      <w:szCs w:val="21"/>
                    </w:rPr>
                    <w:fldChar w:fldCharType="begin"/>
                  </w:r>
                  <w:r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1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szCs w:val="21"/>
                    </w:rPr>
                    <w:fldChar w:fldCharType="end"/>
                  </w:r>
                  <w:r>
                    <w:rPr>
                      <w:rFonts w:hint="eastAsia"/>
                      <w:szCs w:val="21"/>
                    </w:rPr>
                    <w:t xml:space="preserve">经济环境 </w:t>
                  </w:r>
                  <w:r>
                    <w:rPr>
                      <w:rFonts w:ascii="宋体" w:hAnsi="宋体"/>
                      <w:szCs w:val="21"/>
                    </w:rPr>
                    <w:fldChar w:fldCharType="begin"/>
                  </w:r>
                  <w:r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1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szCs w:val="21"/>
                    </w:rPr>
                    <w:fldChar w:fldCharType="end"/>
                  </w:r>
                  <w:r>
                    <w:rPr>
                      <w:rFonts w:hint="eastAsia"/>
                      <w:szCs w:val="21"/>
                    </w:rPr>
                    <w:t>政治环境□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网络安全</w:t>
                  </w:r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食品欺诈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食品防护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蓄意污染 </w:t>
                  </w:r>
                  <w:r>
                    <w:rPr>
                      <w:rFonts w:hint="eastAsia"/>
                      <w:szCs w:val="21"/>
                    </w:rPr>
                    <w:t>□其他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列举主要的内容</w:t>
                  </w:r>
                </w:p>
              </w:tc>
              <w:tc>
                <w:tcPr>
                  <w:tcW w:w="7375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客户群体受疫情限制，导致配送需求降低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内部环境</w:t>
                  </w:r>
                </w:p>
              </w:tc>
              <w:tc>
                <w:tcPr>
                  <w:tcW w:w="737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fldChar w:fldCharType="begin"/>
                  </w:r>
                  <w:r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1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szCs w:val="21"/>
                    </w:rPr>
                    <w:fldChar w:fldCharType="end"/>
                  </w:r>
                  <w:r>
                    <w:rPr>
                      <w:rFonts w:hint="eastAsia"/>
                      <w:szCs w:val="21"/>
                    </w:rPr>
                    <w:t xml:space="preserve">价值观  </w:t>
                  </w:r>
                  <w:r>
                    <w:rPr>
                      <w:rFonts w:ascii="宋体" w:hAnsi="宋体"/>
                      <w:szCs w:val="21"/>
                    </w:rPr>
                    <w:fldChar w:fldCharType="begin"/>
                  </w:r>
                  <w:r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1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szCs w:val="21"/>
                    </w:rPr>
                    <w:fldChar w:fldCharType="end"/>
                  </w:r>
                  <w:r>
                    <w:rPr>
                      <w:rFonts w:hint="eastAsia"/>
                      <w:szCs w:val="21"/>
                    </w:rPr>
                    <w:t xml:space="preserve">文化  </w:t>
                  </w:r>
                  <w:r>
                    <w:rPr>
                      <w:rFonts w:ascii="宋体" w:hAnsi="宋体"/>
                      <w:szCs w:val="21"/>
                    </w:rPr>
                    <w:fldChar w:fldCharType="begin"/>
                  </w:r>
                  <w:r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1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szCs w:val="21"/>
                    </w:rPr>
                    <w:fldChar w:fldCharType="end"/>
                  </w:r>
                  <w:r>
                    <w:rPr>
                      <w:rFonts w:hint="eastAsia"/>
                      <w:szCs w:val="21"/>
                    </w:rPr>
                    <w:t xml:space="preserve">知识 </w:t>
                  </w:r>
                  <w:r>
                    <w:rPr>
                      <w:rFonts w:ascii="宋体" w:hAnsi="宋体"/>
                      <w:szCs w:val="21"/>
                    </w:rPr>
                    <w:fldChar w:fldCharType="begin"/>
                  </w:r>
                  <w:r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1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szCs w:val="21"/>
                    </w:rPr>
                    <w:fldChar w:fldCharType="end"/>
                  </w:r>
                  <w:r>
                    <w:rPr>
                      <w:rFonts w:hint="eastAsia"/>
                      <w:szCs w:val="21"/>
                    </w:rPr>
                    <w:t xml:space="preserve">绩效 □工艺 </w:t>
                  </w:r>
                  <w:r>
                    <w:rPr>
                      <w:rFonts w:ascii="宋体" w:hAnsi="宋体"/>
                      <w:szCs w:val="21"/>
                    </w:rPr>
                    <w:fldChar w:fldCharType="begin"/>
                  </w:r>
                  <w:r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1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  <w:szCs w:val="21"/>
                    </w:rPr>
                    <w:fldChar w:fldCharType="end"/>
                  </w:r>
                  <w:r>
                    <w:rPr>
                      <w:rFonts w:hint="eastAsia"/>
                      <w:szCs w:val="21"/>
                    </w:rPr>
                    <w:t xml:space="preserve">设备 </w:t>
                  </w:r>
                  <w:r>
                    <w:rPr>
                      <w:rFonts w:ascii="宋体" w:hAnsi="宋体"/>
                      <w:szCs w:val="21"/>
                    </w:rPr>
                    <w:fldChar w:fldCharType="begin"/>
                  </w:r>
                  <w:r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1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szCs w:val="21"/>
                    </w:rPr>
                    <w:fldChar w:fldCharType="end"/>
                  </w:r>
                  <w:r>
                    <w:rPr>
                      <w:rFonts w:hint="eastAsia"/>
                      <w:szCs w:val="21"/>
                    </w:rPr>
                    <w:t xml:space="preserve">人员能力 □其他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列举主要的内容</w:t>
                  </w:r>
                </w:p>
              </w:tc>
              <w:tc>
                <w:tcPr>
                  <w:tcW w:w="737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拥</w:t>
                  </w:r>
                  <w:r>
                    <w:rPr>
                      <w:szCs w:val="21"/>
                    </w:rPr>
                    <w:t>有一定的优质</w:t>
                  </w:r>
                  <w:r>
                    <w:rPr>
                      <w:rFonts w:hint="eastAsia"/>
                      <w:szCs w:val="21"/>
                    </w:rPr>
                    <w:t>客</w:t>
                  </w:r>
                  <w:r>
                    <w:rPr>
                      <w:szCs w:val="21"/>
                    </w:rPr>
                    <w:t>户</w:t>
                  </w:r>
                  <w:r>
                    <w:rPr>
                      <w:rFonts w:hint="eastAsia"/>
                      <w:szCs w:val="21"/>
                    </w:rPr>
                    <w:t>资</w:t>
                  </w:r>
                  <w:r>
                    <w:rPr>
                      <w:szCs w:val="21"/>
                    </w:rPr>
                    <w:t>源</w:t>
                  </w:r>
                  <w:r>
                    <w:rPr>
                      <w:rFonts w:hint="eastAsia"/>
                      <w:szCs w:val="21"/>
                    </w:rPr>
                    <w:t>例如幼儿</w:t>
                  </w:r>
                  <w:r>
                    <w:rPr>
                      <w:szCs w:val="21"/>
                    </w:rPr>
                    <w:t>园</w:t>
                  </w:r>
                  <w:r>
                    <w:rPr>
                      <w:rFonts w:hint="eastAsia"/>
                      <w:szCs w:val="21"/>
                    </w:rPr>
                    <w:t>学</w:t>
                  </w:r>
                  <w:r>
                    <w:rPr>
                      <w:szCs w:val="21"/>
                    </w:rPr>
                    <w:t>校食堂客户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员工基本稳定</w:t>
                  </w:r>
                  <w:r>
                    <w:rPr>
                      <w:rFonts w:hint="eastAsia"/>
                      <w:szCs w:val="21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组织优势说明</w:t>
                  </w:r>
                </w:p>
              </w:tc>
              <w:tc>
                <w:tcPr>
                  <w:tcW w:w="737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供货渠道较为稳定，通过建立体系，管理能力较强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组织劣势说明</w:t>
                  </w:r>
                </w:p>
              </w:tc>
              <w:tc>
                <w:tcPr>
                  <w:tcW w:w="7375" w:type="dxa"/>
                </w:tcPr>
                <w:p>
                  <w:pPr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  <w:lang w:val="en-US" w:eastAsia="zh-CN"/>
                    </w:rPr>
                    <w:t>受疫情影响，客户群体需求量降低，</w:t>
                  </w:r>
                  <w:r>
                    <w:rPr>
                      <w:rFonts w:ascii="宋体" w:hAnsi="宋体"/>
                      <w:kern w:val="0"/>
                      <w:szCs w:val="21"/>
                    </w:rPr>
                    <w:t>要扩</w:t>
                  </w: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展新</w:t>
                  </w:r>
                  <w:r>
                    <w:rPr>
                      <w:rFonts w:ascii="宋体" w:hAnsi="宋体"/>
                      <w:kern w:val="0"/>
                      <w:szCs w:val="21"/>
                    </w:rPr>
                    <w:t>市场及客户</w:t>
                  </w:r>
                  <w:r>
                    <w:rPr>
                      <w:rFonts w:hint="eastAsia" w:ascii="宋体" w:hAnsi="宋体"/>
                      <w:kern w:val="0"/>
                      <w:szCs w:val="21"/>
                      <w:lang w:val="en-US" w:eastAsia="zh-CN"/>
                    </w:rPr>
                    <w:t>压力较大</w:t>
                  </w:r>
                  <w:r>
                    <w:rPr>
                      <w:rFonts w:ascii="宋体" w:hAnsi="宋体"/>
                      <w:kern w:val="0"/>
                      <w:szCs w:val="21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主要风险的说明</w:t>
                  </w:r>
                </w:p>
              </w:tc>
              <w:tc>
                <w:tcPr>
                  <w:tcW w:w="737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疫情风险；客户需要的食材需求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越来越高</w:t>
                  </w:r>
                  <w:r>
                    <w:rPr>
                      <w:rFonts w:hint="eastAsia"/>
                      <w:szCs w:val="21"/>
                    </w:rPr>
                    <w:t>；</w:t>
                  </w:r>
                </w:p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机遇的说明</w:t>
                  </w:r>
                </w:p>
              </w:tc>
              <w:tc>
                <w:tcPr>
                  <w:tcW w:w="7375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组织内外部环境要素识别表</w:t>
            </w:r>
            <w:r>
              <w:rPr>
                <w:rFonts w:hint="eastAsia" w:ascii="宋体" w:hAnsi="宋体"/>
              </w:rPr>
              <w:t>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《组织及其环境分析表》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>理解相关方的需求和期望</w:t>
            </w:r>
          </w:p>
        </w:tc>
        <w:tc>
          <w:tcPr>
            <w:tcW w:w="960" w:type="dxa"/>
            <w:gridSpan w:val="3"/>
            <w:vMerge w:val="restart"/>
          </w:tcPr>
          <w:p>
            <w:r>
              <w:rPr>
                <w:rFonts w:hint="eastAsia"/>
              </w:rPr>
              <w:t xml:space="preserve"> F4.2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管理手册第4.2章</w:t>
            </w:r>
          </w:p>
        </w:tc>
        <w:tc>
          <w:tcPr>
            <w:tcW w:w="1589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2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gridSpan w:val="3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tbl>
            <w:tblPr>
              <w:tblStyle w:val="8"/>
              <w:tblW w:w="89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1"/>
              <w:gridCol w:w="2701"/>
              <w:gridCol w:w="47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t>重要的相关方</w:t>
                  </w:r>
                </w:p>
              </w:tc>
              <w:tc>
                <w:tcPr>
                  <w:tcW w:w="2701" w:type="dxa"/>
                </w:tcPr>
                <w:p>
                  <w:r>
                    <w:rPr>
                      <w:rFonts w:hint="eastAsia"/>
                    </w:rPr>
                    <w:t>相关方名称举例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t>重要的相关方需求和希望（不必全选）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主管部门</w:t>
                  </w:r>
                </w:p>
              </w:tc>
              <w:tc>
                <w:tcPr>
                  <w:tcW w:w="2701" w:type="dxa"/>
                </w:tcPr>
                <w:p>
                  <w:r>
                    <w:rPr>
                      <w:rFonts w:hint="eastAsia"/>
                    </w:rPr>
                    <w:t>晋江市市场监督管理局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遵守食品安全相关的法律法规</w:t>
                  </w:r>
                </w:p>
                <w:p>
                  <w:r>
                    <w:rPr>
                      <w:rFonts w:hint="eastAsia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供方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福建禾恒蔬菜批发市场有限公司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晋江市青阳弘洋食品商行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组织的持续经营、明示食品安全采购要求</w:t>
                  </w:r>
                </w:p>
                <w:p>
                  <w:r>
                    <w:rPr>
                      <w:rFonts w:hint="eastAsia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t>☑顾客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晋江市心怡幼儿园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小庄幼儿园等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按时按质按量交付产品或服务；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产品/服务质量持续满足要求</w:t>
                  </w:r>
                </w:p>
                <w:p>
                  <w:pPr>
                    <w:ind w:left="210" w:hanging="210" w:hangingChars="100"/>
                  </w:pPr>
                  <w:r>
                    <w:rPr>
                      <w:rFonts w:hint="eastAsia"/>
                    </w:rPr>
                    <w:t>☑不因食品安全问题影响按时按质按量交付产品或服务；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消费者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t>□良好的使用感受</w:t>
                  </w:r>
                </w:p>
                <w:p>
                  <w:r>
                    <w:rPr>
                      <w:rFonts w:hint="eastAsia"/>
                    </w:rPr>
                    <w:t>□不因食品安全问题带来健康损害和生命威胁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员工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雇员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t>☑组织的持续经营、自我发展</w:t>
                  </w:r>
                </w:p>
                <w:p>
                  <w:r>
                    <w:rPr>
                      <w:rFonts w:hint="eastAsia"/>
                    </w:rPr>
                    <w:t>☑不因食品安全问题停产，组织持续经营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>投资方</w:t>
                  </w:r>
                </w:p>
              </w:tc>
              <w:tc>
                <w:tcPr>
                  <w:tcW w:w="2701" w:type="dxa"/>
                </w:tcPr>
                <w:p/>
              </w:tc>
              <w:tc>
                <w:tcPr>
                  <w:tcW w:w="472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组织的持续经营、盈利</w:t>
                  </w:r>
                </w:p>
                <w:p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>不因食品安全问题停产，组织持续经营、盈利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社区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霞行社区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不因食品安全问题影响周围人员的就业</w:t>
                  </w:r>
                </w:p>
                <w:p>
                  <w:r>
                    <w:rPr>
                      <w:rFonts w:hint="eastAsia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t>□其他</w:t>
                  </w:r>
                </w:p>
              </w:tc>
              <w:tc>
                <w:tcPr>
                  <w:tcW w:w="2701" w:type="dxa"/>
                </w:tcPr>
                <w:p/>
              </w:tc>
              <w:tc>
                <w:tcPr>
                  <w:tcW w:w="4729" w:type="dxa"/>
                </w:tcPr>
                <w:p/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hint="eastAsia"/>
              </w:rPr>
              <w:t>☑</w:t>
            </w:r>
            <w:r>
              <w:rPr>
                <w:rFonts w:hint="eastAsia" w:ascii="宋体" w:hAnsi="宋体"/>
              </w:rPr>
              <w:t>《相关方期望要求识别表》、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《相关方的需求和期望分析表》、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>确定食品安全管理体系的范围</w:t>
            </w:r>
          </w:p>
        </w:tc>
        <w:tc>
          <w:tcPr>
            <w:tcW w:w="960" w:type="dxa"/>
            <w:gridSpan w:val="3"/>
            <w:vMerge w:val="restart"/>
          </w:tcPr>
          <w:p>
            <w:r>
              <w:rPr>
                <w:rFonts w:hint="eastAsia"/>
              </w:rPr>
              <w:t>F4.3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>
            <w:r>
              <w:rPr>
                <w:rFonts w:hint="eastAsia"/>
              </w:rPr>
              <w:t>如：管理手册第4.3章</w:t>
            </w:r>
          </w:p>
        </w:tc>
        <w:tc>
          <w:tcPr>
            <w:tcW w:w="1589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gridSpan w:val="3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>
            <w:r>
              <w:rPr>
                <w:rFonts w:hint="eastAsia"/>
              </w:rPr>
              <w:t>组织应明确相关管理体系的范围；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1"/>
              <w:gridCol w:w="5446"/>
              <w:gridCol w:w="16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范围的项目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内容描述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产品/服务的活动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餐饮管理服务（热食类食品制售）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审核范围描述 </w:t>
                  </w:r>
                </w:p>
              </w:tc>
              <w:tc>
                <w:tcPr>
                  <w:tcW w:w="5446" w:type="dxa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bookmarkStart w:id="0" w:name="审核范围"/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位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于福建省泉州市晋江市青阳街道霞行社区埔尾2号前面晋江市实秋商贸有限公司农副产品（果蔬、鲜畜禽肉、水产品）的销售、预包装食品（粮油、调味品、肉类冻品、）的销售</w:t>
                  </w:r>
                  <w:bookmarkEnd w:id="0"/>
                </w:p>
              </w:tc>
              <w:tc>
                <w:tcPr>
                  <w:tcW w:w="1686" w:type="dxa"/>
                </w:tcPr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经营地址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福建省泉州市晋江市青阳街道霞行社区埔尾2号前面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临时现场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多场所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1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组织单元（部门/分支）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begin"/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instrText xml:space="preserve">eq \o\ac(□,√)</w:instrTex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与组织结构图一致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分支机构，如： 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 xml:space="preserve">                  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临时场所，如： 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 xml:space="preserve">            </w:t>
                  </w:r>
                  <w: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  <w:t xml:space="preserve">   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时间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begin"/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instrText xml:space="preserve">eq \o\ac(□)</w:instrTex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 体系建立以来，2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020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-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0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6-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01</w:t>
                  </w:r>
                </w:p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FE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近一年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以来，2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020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-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0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6-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01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审核周期内未发生变化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）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在企业的管理手册中有描述。</w:t>
            </w:r>
          </w:p>
        </w:tc>
        <w:tc>
          <w:tcPr>
            <w:tcW w:w="158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</w:tcPr>
          <w:p>
            <w:pPr>
              <w:jc w:val="left"/>
            </w:pPr>
            <w:r>
              <w:rPr>
                <w:rFonts w:hint="eastAsia"/>
              </w:rPr>
              <w:t>食品安全管理体系及其过程</w:t>
            </w:r>
          </w:p>
        </w:tc>
        <w:tc>
          <w:tcPr>
            <w:tcW w:w="960" w:type="dxa"/>
            <w:gridSpan w:val="3"/>
            <w:vMerge w:val="restart"/>
          </w:tcPr>
          <w:p>
            <w:r>
              <w:rPr>
                <w:rFonts w:hint="eastAsia"/>
              </w:rPr>
              <w:t xml:space="preserve">F4.4 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管理手册第4.4章、</w:t>
            </w:r>
            <w:r>
              <w:rPr/>
              <w:sym w:font="Wingdings" w:char="00A8"/>
            </w:r>
            <w:r>
              <w:rPr>
                <w:rFonts w:hint="eastAsia"/>
              </w:rPr>
              <w:t>《过程清单》</w:t>
            </w:r>
          </w:p>
        </w:tc>
        <w:tc>
          <w:tcPr>
            <w:tcW w:w="1589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gridSpan w:val="3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>
            <w:pPr>
              <w:spacing w:before="40" w:after="40"/>
              <w:rPr>
                <w:lang w:val="en-GB"/>
              </w:rPr>
            </w:pPr>
            <w:r>
              <w:rPr>
                <w:rFonts w:hint="eastAsia"/>
              </w:rPr>
              <w:t>组织对管理体系的过程进行了确认，对输入、输出、</w:t>
            </w:r>
            <w:r>
              <w:rPr>
                <w:rFonts w:hint="eastAsia"/>
                <w:lang w:val="en-GB"/>
              </w:rPr>
              <w:t>顺序及相互</w:t>
            </w:r>
            <w:r>
              <w:rPr>
                <w:rFonts w:hint="eastAsia"/>
              </w:rPr>
              <w:t>作用</w:t>
            </w:r>
            <w:r>
              <w:rPr>
                <w:rFonts w:hint="eastAsia"/>
                <w:lang w:val="en-GB"/>
              </w:rPr>
              <w:t>已被</w:t>
            </w:r>
            <w:r>
              <w:rPr>
                <w:rFonts w:hint="eastAsia"/>
              </w:rPr>
              <w:t>明确</w:t>
            </w:r>
            <w:r>
              <w:rPr>
                <w:rFonts w:hint="eastAsia"/>
                <w:lang w:val="en-GB"/>
              </w:rPr>
              <w:t>地提出并被充分控制。</w:t>
            </w:r>
            <w:r>
              <w:rPr>
                <w:rFonts w:hint="eastAsia"/>
              </w:rPr>
              <w:t>采用了过程方法管理相关管理体系及其过程；</w:t>
            </w:r>
            <w:r>
              <w:rPr>
                <w:rFonts w:hint="eastAsia"/>
                <w:lang w:val="en-GB"/>
              </w:rPr>
              <w:t>用文件化的绩效指标定期评审过程。</w:t>
            </w:r>
          </w:p>
          <w:p>
            <w:pPr>
              <w:spacing w:before="40" w:after="40"/>
              <w:jc w:val="left"/>
            </w:pPr>
            <w:r>
              <w:rPr>
                <w:rFonts w:hint="eastAsia"/>
              </w:rPr>
              <w:t>FSMS</w:t>
            </w: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影响运行的重要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不必全选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  <w:ind w:left="210" w:hanging="210" w:hangingChars="100"/>
            </w:pPr>
            <w:r>
              <w:rPr>
                <w:rFonts w:hint="eastAsia"/>
              </w:rPr>
              <w:t xml:space="preserve">☑人员能力管理 ☑危害分析 ☑PRP制订和控制 ☑危害控制计划（OPRP、HACCP）制订和控制 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□特种设备管理 ☑控制措施组合确认  ☑PRP和危害控制措施的效果验证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其他（车辆管理）</w:t>
            </w:r>
          </w:p>
          <w:p>
            <w:pPr>
              <w:spacing w:before="40" w:after="40"/>
              <w:rPr>
                <w:b/>
                <w:bCs/>
              </w:rPr>
            </w:pP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影响体系运行的外包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根据实际情况选择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□建立FSMS □危害分析 □制订PRP和OPRP、HACCP计划 □生产/服务过程  □产品运输 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□设备维修   □人员培训 □PRP和OPRP、HACCP验证 ☑其他——无外包 </w:t>
            </w:r>
          </w:p>
          <w:p>
            <w:pPr>
              <w:spacing w:before="40" w:after="40"/>
              <w:jc w:val="left"/>
            </w:pPr>
          </w:p>
          <w:p>
            <w:pPr>
              <w:spacing w:before="40" w:after="40"/>
              <w:rPr>
                <w:highlight w:val="cyan"/>
              </w:rPr>
            </w:pPr>
            <w:r>
              <w:rPr>
                <w:rFonts w:hint="eastAsia"/>
                <w:lang w:val="en-GB"/>
              </w:rPr>
              <w:t>组织通过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目标的建立、实施、内审和管理评审等方式，充分地</w:t>
            </w:r>
            <w:r>
              <w:rPr>
                <w:rFonts w:hint="eastAsia"/>
              </w:rPr>
              <w:t>评审，管理及</w:t>
            </w:r>
            <w:r>
              <w:rPr>
                <w:rFonts w:hint="eastAsia"/>
                <w:lang w:val="en-GB"/>
              </w:rPr>
              <w:t>控制这些</w:t>
            </w:r>
            <w:r>
              <w:rPr>
                <w:rFonts w:hint="eastAsia"/>
              </w:rPr>
              <w:t>质量管理体系覆盖的过程</w:t>
            </w:r>
            <w:r>
              <w:rPr>
                <w:rFonts w:hint="eastAsia"/>
                <w:lang w:val="en-GB"/>
              </w:rPr>
              <w:t>和活动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158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>领导作用与承诺</w:t>
            </w:r>
          </w:p>
        </w:tc>
        <w:tc>
          <w:tcPr>
            <w:tcW w:w="960" w:type="dxa"/>
            <w:gridSpan w:val="3"/>
            <w:vMerge w:val="restart"/>
          </w:tcPr>
          <w:p>
            <w:r>
              <w:rPr>
                <w:rFonts w:hint="eastAsia"/>
              </w:rPr>
              <w:t>F5.1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管理手册第5.1章、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</w:rPr>
              <w:t>《岗位职责汇编》</w:t>
            </w:r>
          </w:p>
        </w:tc>
        <w:tc>
          <w:tcPr>
            <w:tcW w:w="1589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gridSpan w:val="3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与最高管理者沟通其领导作用与承诺：</w:t>
            </w:r>
          </w:p>
          <w:p>
            <w:pPr>
              <w:rPr>
                <w:color w:val="000000"/>
                <w:szCs w:val="21"/>
                <w:shd w:val="clear" w:color="FFFFFF" w:fill="D9D9D9"/>
              </w:rPr>
            </w:pPr>
            <w:r>
              <w:rPr>
                <w:rFonts w:hint="eastAsia"/>
                <w:color w:val="000000"/>
                <w:szCs w:val="21"/>
                <w:shd w:val="clear" w:color="FFFFFF" w:fill="D9D9D9"/>
              </w:rPr>
              <w:t>2018版标准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确保为食品安全管理体系制定食品安全方针和食品安全目标，并与组织的战略方向相一致；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确保食品安全管理体系要求整合到组织的业务过程中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确保获得食品安全管理体系所需的资源</w:t>
            </w:r>
            <w:r>
              <w:rPr>
                <w:rFonts w:hint="eastAsia"/>
                <w:color w:val="000000"/>
                <w:szCs w:val="21"/>
              </w:rPr>
              <w:t xml:space="preserve">；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沟通有效食品安全管理的重要性， 符合食品安全管理体系要求、 法律法规要求和与食品安全有关的顾客要求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确保对FSMS进行评估和保持，以实现其预期结果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指导和支持员工为食品安全管理体系的有效性做出贡献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推动持续改进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支持其他管理者履行其相关领域的食品安全领导职责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napToGrid w:val="0"/>
              <w:spacing w:line="240" w:lineRule="atLeast"/>
              <w:rPr>
                <w:rFonts w:ascii="黑体" w:eastAsia="黑体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覆盖了标准第5.1章的全面要求，</w:t>
            </w: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未覆盖标准第5.1章的全面要求，缺少：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158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>食品安全方针</w:t>
            </w:r>
          </w:p>
        </w:tc>
        <w:tc>
          <w:tcPr>
            <w:tcW w:w="960" w:type="dxa"/>
            <w:gridSpan w:val="3"/>
            <w:vMerge w:val="restart"/>
          </w:tcPr>
          <w:p>
            <w:r>
              <w:rPr>
                <w:rFonts w:hint="eastAsia"/>
              </w:rPr>
              <w:t>F5.2 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管理手册第5.2章和“03 方针和目标的颁布令”</w:t>
            </w:r>
          </w:p>
        </w:tc>
        <w:tc>
          <w:tcPr>
            <w:tcW w:w="1589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gridSpan w:val="3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>
            <w:pPr>
              <w:rPr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最高管理者制定了文件化的食品安全方针：</w:t>
            </w:r>
          </w:p>
          <w:p>
            <w:pPr>
              <w:rPr>
                <w:b/>
                <w:bCs/>
                <w:u w:val="single"/>
              </w:rPr>
            </w:pPr>
            <w:r>
              <w:rPr>
                <w:rFonts w:hint="eastAsia"/>
                <w:u w:val="single"/>
              </w:rPr>
              <w:t xml:space="preserve">  服务周到，及时配送，确保配送食品安全，顾客满意，不断创新，持续改进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                                                                     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适应组织的宗旨和环境并支持其战略方向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方针合理恰当并为相应的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目标提供了框架。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包括满足适用食品安全要求的承诺，包括立法/执法要求和顾客的相互同意的食品安全要求（FSMS）</w:t>
            </w:r>
          </w:p>
          <w:p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包括持续改进质量管理体系的承诺</w:t>
            </w:r>
          </w:p>
          <w:p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应对内部和外部沟通（FSMS）</w:t>
            </w:r>
          </w:p>
          <w:p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解决需求确保食品安全相关的能力（FSMS）</w:t>
            </w:r>
          </w:p>
          <w:p/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在组织内得到沟通、理解和应用，通过：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展板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标语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会议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文件发放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在相关方有需要时提供。通过：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网站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宣传册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招投标</w:t>
            </w:r>
          </w:p>
        </w:tc>
        <w:tc>
          <w:tcPr>
            <w:tcW w:w="158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>组织的岗位、职责和权限</w:t>
            </w:r>
          </w:p>
          <w:p/>
        </w:tc>
        <w:tc>
          <w:tcPr>
            <w:tcW w:w="960" w:type="dxa"/>
            <w:gridSpan w:val="3"/>
            <w:vMerge w:val="restart"/>
          </w:tcPr>
          <w:p>
            <w:r>
              <w:rPr>
                <w:rFonts w:hint="eastAsia"/>
              </w:rPr>
              <w:t>F5.3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89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gridSpan w:val="3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>
            <w:r>
              <w:rPr>
                <w:rFonts w:hint="eastAsia"/>
              </w:rPr>
              <w:t>最高管理者确定了组织架构及相关岗位的职责、权限，并进行了全员的沟通和理解；</w:t>
            </w:r>
          </w:p>
          <w:p>
            <w:r>
              <w:rPr>
                <w:rFonts w:hint="eastAsia"/>
              </w:rPr>
              <w:t>如：</w:t>
            </w:r>
          </w:p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0"/>
              <w:gridCol w:w="2261"/>
              <w:gridCol w:w="2261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食品安全管理体系策划和推动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OPRP和HACCP的实施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采购控制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运营部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FSMS验证和确认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人员健康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基础设施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运营部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/>
              </w:tc>
              <w:tc>
                <w:tcPr>
                  <w:tcW w:w="2261" w:type="dxa"/>
                </w:tcPr>
                <w:p/>
              </w:tc>
              <w:tc>
                <w:tcPr>
                  <w:tcW w:w="2261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</w:tbl>
          <w:p/>
        </w:tc>
        <w:tc>
          <w:tcPr>
            <w:tcW w:w="158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2164" w:type="dxa"/>
          </w:tcPr>
          <w:p/>
        </w:tc>
        <w:tc>
          <w:tcPr>
            <w:tcW w:w="960" w:type="dxa"/>
            <w:gridSpan w:val="3"/>
          </w:tcPr>
          <w:p/>
        </w:tc>
        <w:tc>
          <w:tcPr>
            <w:tcW w:w="745" w:type="dxa"/>
            <w:gridSpan w:val="2"/>
          </w:tcPr>
          <w:p/>
        </w:tc>
        <w:tc>
          <w:tcPr>
            <w:tcW w:w="9256" w:type="dxa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食品安全小组组长：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庄树群先生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t>食品安全组长负责：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确保FSMS的建立、实施、维护和更新；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管理和组织食品安全小组的工作；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确保食品安全团队的相关培训和能力；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向最高管理层报告FSMS的有效性和适宜性。</w:t>
            </w:r>
          </w:p>
          <w:p/>
          <w:p>
            <w:r>
              <w:t>所有人员有责任向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食品安全组长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食品安全小组成员 </w:t>
            </w:r>
            <w:r>
              <w:t>报告与FSMS有关的问题</w:t>
            </w:r>
          </w:p>
        </w:tc>
        <w:tc>
          <w:tcPr>
            <w:tcW w:w="1589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应对风险和机遇的措施</w:t>
            </w:r>
          </w:p>
          <w:p/>
        </w:tc>
        <w:tc>
          <w:tcPr>
            <w:tcW w:w="960" w:type="dxa"/>
            <w:gridSpan w:val="3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F6.1.1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管理手册第6.1章</w:t>
            </w:r>
          </w:p>
        </w:tc>
        <w:tc>
          <w:tcPr>
            <w:tcW w:w="1589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gridSpan w:val="3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>
            <w:r>
              <w:rPr>
                <w:rFonts w:hint="eastAsia"/>
              </w:rPr>
              <w:t>分析风险的方法：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头脑风暴法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FMEA（潜在失效模式分析）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应对风险的措施类型包括：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规避风险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为寻求机遇承担风险、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消除风险源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改变风险的可能性和后果、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分担风险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通过信息充分的决策而保留风险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列举2~3项应对主要风险的描述：         </w:t>
            </w:r>
          </w:p>
          <w:tbl>
            <w:tblPr>
              <w:tblStyle w:val="8"/>
              <w:tblpPr w:leftFromText="180" w:rightFromText="180" w:vertAnchor="text" w:horzAnchor="page" w:tblpX="97" w:tblpY="208"/>
              <w:tblOverlap w:val="never"/>
              <w:tblW w:w="85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9"/>
              <w:gridCol w:w="4116"/>
              <w:gridCol w:w="17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9" w:type="dxa"/>
                </w:tcPr>
                <w:p>
                  <w:r>
                    <w:rPr>
                      <w:rFonts w:hint="eastAsia"/>
                    </w:rPr>
                    <w:t>主要的风险描述</w:t>
                  </w:r>
                </w:p>
              </w:tc>
              <w:tc>
                <w:tcPr>
                  <w:tcW w:w="4116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717" w:type="dxa"/>
                </w:tcPr>
                <w:p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9" w:type="dxa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受疫情影响，客户</w:t>
                  </w:r>
                  <w:r>
                    <w:rPr>
                      <w:rFonts w:hint="eastAsia" w:ascii="宋体" w:hAnsi="宋体"/>
                      <w:szCs w:val="21"/>
                    </w:rPr>
                    <w:t>订单逐步回落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同时对食材的食品安全要求</w:t>
                  </w:r>
                  <w:r>
                    <w:rPr>
                      <w:rFonts w:hint="eastAsia" w:ascii="宋体" w:hAnsi="宋体"/>
                      <w:szCs w:val="21"/>
                    </w:rPr>
                    <w:t>越来越高</w:t>
                  </w:r>
                </w:p>
              </w:tc>
              <w:tc>
                <w:tcPr>
                  <w:tcW w:w="4116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1、继续提高研究开发提高竞争能力</w:t>
                  </w:r>
                </w:p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2、进一步发挥产品质量和价格优势</w:t>
                  </w:r>
                </w:p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3、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严格控制供方管理</w:t>
                  </w:r>
                  <w:r>
                    <w:rPr>
                      <w:rFonts w:hint="eastAsia" w:ascii="宋体" w:hAnsi="宋体"/>
                      <w:szCs w:val="21"/>
                    </w:rPr>
                    <w:t>。</w:t>
                  </w:r>
                </w:p>
              </w:tc>
              <w:tc>
                <w:tcPr>
                  <w:tcW w:w="1717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9" w:type="dxa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4116" w:type="dxa"/>
                </w:tcPr>
                <w:p/>
              </w:tc>
              <w:tc>
                <w:tcPr>
                  <w:tcW w:w="1717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 xml:space="preserve">应对机遇的措施类型包括：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采用新实践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推出新产品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开辟新市场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赢得新顾客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建立合作伙伴关系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利用新技术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列举2~3项应对重要机遇的描述：</w:t>
            </w:r>
          </w:p>
          <w:tbl>
            <w:tblPr>
              <w:tblStyle w:val="8"/>
              <w:tblpPr w:leftFromText="180" w:rightFromText="180" w:vertAnchor="text" w:horzAnchor="page" w:tblpX="106" w:tblpY="206"/>
              <w:tblOverlap w:val="never"/>
              <w:tblW w:w="85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72"/>
              <w:gridCol w:w="3833"/>
              <w:gridCol w:w="17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972" w:type="dxa"/>
                </w:tcPr>
                <w:p>
                  <w:r>
                    <w:rPr>
                      <w:rFonts w:hint="eastAsia"/>
                    </w:rPr>
                    <w:t>主要的机遇描述</w:t>
                  </w:r>
                </w:p>
              </w:tc>
              <w:tc>
                <w:tcPr>
                  <w:tcW w:w="3833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717" w:type="dxa"/>
                </w:tcPr>
                <w:p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2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目前学校重视学生饮食健康，</w:t>
                  </w:r>
                  <w:r>
                    <w:rPr>
                      <w:rFonts w:hint="eastAsia"/>
                    </w:rPr>
                    <w:t>学</w:t>
                  </w:r>
                  <w:r>
                    <w:t>校招投标市场</w:t>
                  </w:r>
                  <w:r>
                    <w:rPr>
                      <w:rFonts w:hint="eastAsia"/>
                    </w:rPr>
                    <w:t>需</w:t>
                  </w:r>
                  <w:r>
                    <w:t>求大</w:t>
                  </w:r>
                </w:p>
              </w:tc>
              <w:tc>
                <w:tcPr>
                  <w:tcW w:w="3833" w:type="dxa"/>
                </w:tcPr>
                <w:p>
                  <w:pPr>
                    <w:numPr>
                      <w:ilvl w:val="0"/>
                      <w:numId w:val="1"/>
                    </w:num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打好管理基础；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加强对销售过程的食品安全控制；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及时关注教育部等要求</w:t>
                  </w:r>
                </w:p>
              </w:tc>
              <w:tc>
                <w:tcPr>
                  <w:tcW w:w="1717" w:type="dxa"/>
                </w:tcPr>
                <w:p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2" w:type="dxa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3833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2" w:type="dxa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3833" w:type="dxa"/>
                </w:tcPr>
                <w:p/>
              </w:tc>
              <w:tc>
                <w:tcPr>
                  <w:tcW w:w="1717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FSMS</w:t>
            </w:r>
          </w:p>
          <w:p>
            <w:pPr>
              <w:jc w:val="left"/>
            </w:pPr>
            <w:r>
              <w:rPr>
                <w:rFonts w:hint="eastAsia"/>
              </w:rPr>
              <w:t>组织食品安全管理体系范围内的潜在紧急情况，如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法规未识别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违规操作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其他                    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可能具有食品安全危害的潜在紧急情况，如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食物中毒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停水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停电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 停蒸汽   </w:t>
            </w:r>
          </w:p>
          <w:p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 制冷设备故障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车辆故障 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其他          </w:t>
            </w:r>
          </w:p>
          <w:p/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确保FSMS 能够达到其预期结果;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提高理想效果;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防止或减少不良后果;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实现持续改进。</w:t>
            </w:r>
          </w:p>
        </w:tc>
        <w:tc>
          <w:tcPr>
            <w:tcW w:w="158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164" w:type="dxa"/>
            <w:vMerge w:val="restart"/>
          </w:tcPr>
          <w:p/>
        </w:tc>
        <w:tc>
          <w:tcPr>
            <w:tcW w:w="960" w:type="dxa"/>
            <w:gridSpan w:val="3"/>
          </w:tcPr>
          <w:p>
            <w:r>
              <w:rPr>
                <w:rFonts w:hint="eastAsia"/>
                <w:color w:val="000000"/>
                <w:szCs w:val="21"/>
              </w:rPr>
              <w:t>F6.1.2  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>
            <w:pPr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该组织策划了：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a) 解决这些风险和机遇的行动;——企业提供了《应对机遇和风险措施清单》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b) 并进行了: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1) 将行动整合并实施到其FSMS流程中;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2) 评估这些行动的有效性。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 </w:t>
            </w:r>
          </w:p>
        </w:tc>
        <w:tc>
          <w:tcPr>
            <w:tcW w:w="1589" w:type="dxa"/>
            <w:gridSpan w:val="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gridSpan w:val="3"/>
          </w:tcPr>
          <w:p>
            <w:r>
              <w:rPr>
                <w:rFonts w:hint="eastAsia"/>
                <w:color w:val="000000"/>
                <w:szCs w:val="21"/>
              </w:rPr>
              <w:t>F6.1.3 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该组织为应对风险和机遇而采取的行动与以下方面相称：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 xml:space="preserve">a) 对食品安全要求的影响;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b) 为顾客提供一致的食品产品与服务;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</w:pPr>
            <w:r>
              <w:rPr>
                <w:rFonts w:hint="eastAsia" w:ascii="CIDFont+F5" w:hAnsi="CIDFont+F5" w:eastAsia="CIDFont+F5"/>
              </w:rPr>
              <w:t xml:space="preserve">c) 食品链中相关方的要求。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</w:tc>
        <w:tc>
          <w:tcPr>
            <w:tcW w:w="1589" w:type="dxa"/>
            <w:gridSpan w:val="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/>
        </w:tc>
        <w:tc>
          <w:tcPr>
            <w:tcW w:w="960" w:type="dxa"/>
            <w:gridSpan w:val="3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 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管理手册第6.2章、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食品安全目标分解及考核统计表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9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gridSpan w:val="3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>
            <w:r>
              <w:rPr>
                <w:rFonts w:hint="eastAsia"/>
              </w:rPr>
              <w:t>组织建立了与方针一致的文件化的管理目标。为实现总的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7"/>
              <w:tblW w:w="84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2223"/>
              <w:gridCol w:w="2263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食品安全目标</w:t>
                  </w:r>
                </w:p>
              </w:tc>
              <w:tc>
                <w:tcPr>
                  <w:tcW w:w="222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计算方法</w:t>
                  </w:r>
                </w:p>
              </w:tc>
              <w:tc>
                <w:tcPr>
                  <w:tcW w:w="226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</w:t>
                  </w:r>
                </w:p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（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2022.01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食品中毒事故为0</w:t>
                  </w:r>
                </w:p>
              </w:tc>
              <w:tc>
                <w:tcPr>
                  <w:tcW w:w="2223" w:type="dxa"/>
                  <w:shd w:val="clear" w:color="auto" w:fill="auto"/>
                </w:tcPr>
                <w:p>
                  <w:pPr>
                    <w:rPr>
                      <w:szCs w:val="21"/>
                      <w:lang w:val="en-GB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实际发生次数</w:t>
                  </w:r>
                </w:p>
              </w:tc>
              <w:tc>
                <w:tcPr>
                  <w:tcW w:w="2263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运营部</w:t>
                  </w: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（季度考核）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Cs w:val="21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客户投诉率≤4%</w:t>
                  </w:r>
                </w:p>
              </w:tc>
              <w:tc>
                <w:tcPr>
                  <w:tcW w:w="222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实际发生次数</w:t>
                  </w:r>
                </w:p>
              </w:tc>
              <w:tc>
                <w:tcPr>
                  <w:tcW w:w="226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运营部（季度考核）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顾客满意度≥90分</w:t>
                  </w:r>
                </w:p>
              </w:tc>
              <w:tc>
                <w:tcPr>
                  <w:tcW w:w="2223" w:type="dxa"/>
                  <w:shd w:val="clear" w:color="auto" w:fill="auto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按照实际打分统计</w:t>
                  </w:r>
                </w:p>
              </w:tc>
              <w:tc>
                <w:tcPr>
                  <w:tcW w:w="2263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运营部（按照年度进行考核）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Cs w:val="21"/>
                      <w:lang w:val="en-US" w:eastAsia="zh-CN"/>
                    </w:rPr>
                    <w:t>在实施中</w:t>
                  </w: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2021年度已实现，2022年2月目标在实施中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变更的策划</w:t>
            </w:r>
          </w:p>
          <w:p/>
        </w:tc>
        <w:tc>
          <w:tcPr>
            <w:tcW w:w="960" w:type="dxa"/>
            <w:gridSpan w:val="3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F6.3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管理手册第6.3章</w:t>
            </w:r>
          </w:p>
        </w:tc>
        <w:tc>
          <w:tcPr>
            <w:tcW w:w="1589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gridSpan w:val="3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组织对相关管理体系进行变更时，变更应按所策划的方式实施；审核周期内的重大变更有：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□组织结构变更 □部门职责变更 □主要原材料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关键人员</w:t>
            </w:r>
            <w:r>
              <w:rPr>
                <w:rFonts w:hint="eastAsia"/>
                <w:lang w:eastAsia="zh-CN"/>
              </w:rPr>
              <w:t>—</w:t>
            </w:r>
            <w:r>
              <w:rPr>
                <w:rFonts w:hint="eastAsia"/>
                <w:lang w:val="en-US" w:eastAsia="zh-CN"/>
              </w:rPr>
              <w:t>运营部经理/食品安全小组组长发生变更，现场沟通，基本了解工作职责及要求，但未保留变更的证据，已现场沟通。</w:t>
            </w:r>
            <w:r>
              <w:rPr>
                <w:rFonts w:hint="eastAsia"/>
              </w:rPr>
              <w:t xml:space="preserve"> □生产工艺/服务流程 □主要设备设施 □主要检测设备 </w:t>
            </w:r>
            <w:r>
              <w:rPr/>
              <w:sym w:font="Wingdings" w:char="00A8"/>
            </w:r>
            <w:r>
              <w:rPr>
                <w:rFonts w:hint="eastAsia"/>
              </w:rPr>
              <w:t>其他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6"/>
              <w:gridCol w:w="3632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体系变更的内容说明</w:t>
                  </w:r>
                </w:p>
              </w:tc>
              <w:tc>
                <w:tcPr>
                  <w:tcW w:w="3632" w:type="dxa"/>
                </w:tcPr>
                <w:p/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评价内容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评价具体描述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变更目的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其潜在后果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质量管理体系的完整性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资源的可获得性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职责和权限的分配或再分配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</w:tbl>
          <w:p/>
        </w:tc>
        <w:tc>
          <w:tcPr>
            <w:tcW w:w="158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>资源（总则）</w:t>
            </w:r>
          </w:p>
        </w:tc>
        <w:tc>
          <w:tcPr>
            <w:tcW w:w="960" w:type="dxa"/>
            <w:gridSpan w:val="3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F7.1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管理手册第7.1章</w:t>
            </w:r>
          </w:p>
        </w:tc>
        <w:tc>
          <w:tcPr>
            <w:tcW w:w="1589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gridSpan w:val="3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和最高管理层确定并提供所需的资源，以建立、实施、保持和持续改进质量管理体系。 </w:t>
            </w:r>
          </w:p>
          <w:p>
            <w:pPr>
              <w:numPr>
                <w:ilvl w:val="0"/>
                <w:numId w:val="2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现有内部资源的能力；</w:t>
            </w:r>
          </w:p>
          <w:p>
            <w:pPr>
              <w:rPr>
                <w:highlight w:val="cyan"/>
              </w:rPr>
            </w:pPr>
            <w:r>
              <w:rPr>
                <w:rFonts w:hint="eastAsia"/>
              </w:rPr>
              <w:t>建筑面积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30 </w:t>
            </w:r>
            <w:r>
              <w:rPr>
                <w:rFonts w:hint="eastAsia"/>
              </w:rPr>
              <w:t>平方米；生产车间</w:t>
            </w:r>
            <w:r>
              <w:rPr>
                <w:rFonts w:hint="eastAsia"/>
                <w:u w:val="single"/>
              </w:rPr>
              <w:t xml:space="preserve">  0 </w:t>
            </w:r>
            <w:r>
              <w:rPr>
                <w:rFonts w:hint="eastAsia"/>
              </w:rPr>
              <w:t>个；库房</w:t>
            </w:r>
            <w:r>
              <w:rPr>
                <w:rFonts w:hint="eastAsia"/>
                <w:u w:val="single"/>
              </w:rPr>
              <w:t xml:space="preserve"> 0</w:t>
            </w:r>
            <w:r>
              <w:rPr>
                <w:rFonts w:hint="eastAsia"/>
              </w:rPr>
              <w:t>个；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主要设备有：</w:t>
            </w:r>
            <w:r>
              <w:rPr>
                <w:rFonts w:hint="eastAsia"/>
                <w:u w:val="single"/>
              </w:rPr>
              <w:t xml:space="preserve">  家</w:t>
            </w:r>
            <w:r>
              <w:rPr>
                <w:u w:val="single"/>
              </w:rPr>
              <w:t>用</w:t>
            </w:r>
            <w:r>
              <w:rPr>
                <w:rFonts w:hint="eastAsia"/>
                <w:u w:val="single"/>
              </w:rPr>
              <w:t>冷</w:t>
            </w:r>
            <w:r>
              <w:rPr>
                <w:rFonts w:hint="eastAsia"/>
                <w:u w:val="single"/>
                <w:lang w:val="en-US" w:eastAsia="zh-CN"/>
              </w:rPr>
              <w:t>冻柜</w:t>
            </w:r>
            <w:r>
              <w:rPr>
                <w:rFonts w:hint="eastAsia"/>
                <w:u w:val="single"/>
              </w:rPr>
              <w:t>、电子秤、配</w:t>
            </w:r>
            <w:r>
              <w:rPr>
                <w:u w:val="single"/>
              </w:rPr>
              <w:t>送</w:t>
            </w:r>
            <w:r>
              <w:rPr>
                <w:rFonts w:hint="eastAsia"/>
                <w:u w:val="single"/>
              </w:rPr>
              <w:t xml:space="preserve">车辆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（列举2~4种）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改建/扩建施工现场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其他——不涉及 </w:t>
            </w:r>
          </w:p>
          <w:p/>
          <w:p>
            <w:r>
              <w:rPr>
                <w:rFonts w:hint="eastAsia"/>
              </w:rPr>
              <w:t>特种设备：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不适用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特种设备管理：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进行了定期检验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未进行定期检验的有： </w:t>
            </w:r>
            <w:r>
              <w:rPr>
                <w:rFonts w:hint="eastAsia"/>
                <w:u w:val="single"/>
              </w:rPr>
              <w:t xml:space="preserve">   不涉及       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还存在哪些局限和不足：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无                      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  <w:color w:val="000000"/>
                <w:szCs w:val="21"/>
              </w:rPr>
              <w:t>需要从外部供方获得的资源：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                           </w:t>
            </w:r>
          </w:p>
        </w:tc>
        <w:tc>
          <w:tcPr>
            <w:tcW w:w="158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>监视、测量、分析和评价</w:t>
            </w:r>
          </w:p>
          <w:p/>
        </w:tc>
        <w:tc>
          <w:tcPr>
            <w:tcW w:w="960" w:type="dxa"/>
            <w:gridSpan w:val="3"/>
            <w:vMerge w:val="restart"/>
          </w:tcPr>
          <w:p>
            <w:r>
              <w:rPr>
                <w:rFonts w:hint="eastAsia"/>
              </w:rPr>
              <w:t>F9.1.1</w:t>
            </w:r>
          </w:p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管理手册9.1.1条款</w:t>
            </w:r>
          </w:p>
        </w:tc>
        <w:tc>
          <w:tcPr>
            <w:tcW w:w="1589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4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gridSpan w:val="3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>
            <w:r>
              <w:rPr>
                <w:rFonts w:hint="eastAsia"/>
              </w:rPr>
              <w:t>组织对监视和测量的食品安全绩效：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3"/>
              <w:gridCol w:w="2456"/>
              <w:gridCol w:w="1867"/>
              <w:gridCol w:w="1809"/>
              <w:gridCol w:w="17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监视和测量的对象</w:t>
                  </w:r>
                </w:p>
              </w:tc>
              <w:tc>
                <w:tcPr>
                  <w:tcW w:w="245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监视、测量、分析和评价的方法</w:t>
                  </w:r>
                </w:p>
              </w:tc>
              <w:tc>
                <w:tcPr>
                  <w:tcW w:w="186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监视和测量的频次和时机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评价其食品安全绩效所依据的准则和适当的参数</w:t>
                  </w:r>
                </w:p>
              </w:tc>
              <w:tc>
                <w:tcPr>
                  <w:tcW w:w="173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分析和评价的频次和时机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rFonts w:hint="eastAsia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产品</w:t>
                  </w:r>
                </w:p>
              </w:tc>
              <w:tc>
                <w:tcPr>
                  <w:tcW w:w="2456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索取供方检测报告</w:t>
                  </w:r>
                </w:p>
              </w:tc>
              <w:tc>
                <w:tcPr>
                  <w:tcW w:w="186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定期检查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抽查</w:t>
                  </w:r>
                </w:p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预包装类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）</w:t>
                  </w:r>
                </w:p>
                <w:p>
                  <w:pPr>
                    <w:rPr>
                      <w:rFonts w:hint="default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每批次（果蔬、畜禽肉类）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相关标准</w:t>
                  </w:r>
                </w:p>
              </w:tc>
              <w:tc>
                <w:tcPr>
                  <w:tcW w:w="1738" w:type="dxa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过程</w:t>
                  </w:r>
                </w:p>
              </w:tc>
              <w:tc>
                <w:tcPr>
                  <w:tcW w:w="245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现场巡视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抽查记录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对目标、供方业绩、过程业绩、满意度进行统计</w:t>
                  </w:r>
                </w:p>
              </w:tc>
              <w:tc>
                <w:tcPr>
                  <w:tcW w:w="186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定期检查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抽查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前提方案及相关制度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</w:t>
                  </w:r>
                </w:p>
              </w:tc>
              <w:tc>
                <w:tcPr>
                  <w:tcW w:w="245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内部审核；对内审不符合项进行分析</w:t>
                  </w:r>
                </w:p>
              </w:tc>
              <w:tc>
                <w:tcPr>
                  <w:tcW w:w="186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按年度内审计划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ISO22000：2018</w:t>
                  </w:r>
                </w:p>
                <w:p>
                  <w:pPr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内部审核控制程序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》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体系有效性</w:t>
                  </w:r>
                </w:p>
              </w:tc>
              <w:tc>
                <w:tcPr>
                  <w:tcW w:w="245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管理评审，对FSMS存在的需要问题进行分析</w:t>
                  </w:r>
                </w:p>
              </w:tc>
              <w:tc>
                <w:tcPr>
                  <w:tcW w:w="186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ISO22000：2018</w:t>
                  </w:r>
                </w:p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管理评审控制程序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》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相关方反馈</w:t>
                  </w:r>
                </w:p>
              </w:tc>
              <w:tc>
                <w:tcPr>
                  <w:tcW w:w="245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反馈处理，对问题进行统计</w:t>
                  </w:r>
                </w:p>
              </w:tc>
              <w:tc>
                <w:tcPr>
                  <w:tcW w:w="186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按企业程序文件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</w:tbl>
          <w:p/>
        </w:tc>
        <w:tc>
          <w:tcPr>
            <w:tcW w:w="158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>内部</w:t>
            </w:r>
            <w:r>
              <w:t>审核</w:t>
            </w:r>
          </w:p>
        </w:tc>
        <w:tc>
          <w:tcPr>
            <w:tcW w:w="960" w:type="dxa"/>
            <w:gridSpan w:val="3"/>
            <w:vMerge w:val="restart"/>
          </w:tcPr>
          <w:p>
            <w:r>
              <w:rPr>
                <w:rFonts w:hint="eastAsia"/>
              </w:rPr>
              <w:t>F9.2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</w:t>
            </w:r>
            <w:r>
              <w:t>件名称</w:t>
            </w:r>
          </w:p>
        </w:tc>
        <w:tc>
          <w:tcPr>
            <w:tcW w:w="9256" w:type="dxa"/>
          </w:tcPr>
          <w:p>
            <w:r>
              <w:rPr>
                <w:rFonts w:hint="eastAsia"/>
              </w:rPr>
              <w:t>如</w:t>
            </w:r>
            <w:r>
              <w:t>：</w:t>
            </w:r>
            <w:r>
              <w:rPr>
                <w:color w:val="000000"/>
              </w:rPr>
              <w:sym w:font="Wingdings" w:char="00FE"/>
            </w:r>
            <w:r>
              <w:t>管理</w:t>
            </w:r>
            <w:r>
              <w:rPr>
                <w:rFonts w:hint="eastAsia"/>
              </w:rPr>
              <w:t>手</w:t>
            </w:r>
            <w:r>
              <w:t>册</w:t>
            </w:r>
            <w:r>
              <w:rPr>
                <w:rFonts w:hint="eastAsia"/>
              </w:rPr>
              <w:t>第9.2章、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《内部审核控制程序》</w:t>
            </w:r>
          </w:p>
        </w:tc>
        <w:tc>
          <w:tcPr>
            <w:tcW w:w="1589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gridSpan w:val="3"/>
            <w:vMerge w:val="continue"/>
          </w:tcPr>
          <w:p/>
        </w:tc>
        <w:tc>
          <w:tcPr>
            <w:tcW w:w="745" w:type="dxa"/>
            <w:gridSpan w:val="2"/>
          </w:tcPr>
          <w:p/>
        </w:tc>
        <w:tc>
          <w:tcPr>
            <w:tcW w:w="9256" w:type="dxa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202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名内审员；有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 xml:space="preserve">《内审员证书》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《内审检查表》：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管理层、食品安全小组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现场审核时未能提供对鲜肉的合格证明，不符合ISO22000:2018 标准7.1.6条款要求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>。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本次现场审核时，上述不符合项的纠正措施的有效性</w:t>
            </w:r>
          </w:p>
          <w:p>
            <w:r>
              <w:rPr>
                <w:rFonts w:hint="eastAsia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不符合项未发生  </w:t>
            </w:r>
            <w:r>
              <w:rPr>
                <w:rFonts w:hint="eastAsia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不符合项仍然存在</w:t>
            </w:r>
          </w:p>
        </w:tc>
        <w:tc>
          <w:tcPr>
            <w:tcW w:w="1589" w:type="dxa"/>
            <w:gridSpan w:val="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>管理评审</w:t>
            </w:r>
          </w:p>
          <w:p/>
        </w:tc>
        <w:tc>
          <w:tcPr>
            <w:tcW w:w="960" w:type="dxa"/>
            <w:gridSpan w:val="3"/>
            <w:vMerge w:val="restart"/>
          </w:tcPr>
          <w:p>
            <w:r>
              <w:rPr>
                <w:rFonts w:hint="eastAsia"/>
              </w:rPr>
              <w:t>F9.3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t>管理</w:t>
            </w:r>
            <w:r>
              <w:rPr>
                <w:rFonts w:hint="eastAsia"/>
              </w:rPr>
              <w:t>手</w:t>
            </w:r>
            <w:r>
              <w:t>册</w:t>
            </w:r>
            <w:r>
              <w:rPr>
                <w:rFonts w:hint="eastAsia"/>
              </w:rPr>
              <w:t>第9.3章、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 xml:space="preserve">《管理评审控制程序》 </w:t>
            </w:r>
          </w:p>
        </w:tc>
        <w:tc>
          <w:tcPr>
            <w:tcW w:w="1589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gridSpan w:val="3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</w:t>
            </w: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bookmarkStart w:id="1" w:name="_GoBack"/>
            <w:bookmarkEnd w:id="1"/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21"/>
              </w:rPr>
              <w:t xml:space="preserve">☑管理评审计划  ☑管理评审记录（工作总结）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管理评审纪要  ☑管理评审报告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58"/>
              <w:gridCol w:w="1869"/>
              <w:gridCol w:w="28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管理评审输入信息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评价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问题描述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以往管理评审所采取措施的情况；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组织所处形势的变化</w:t>
                  </w:r>
                  <w:r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受疫情影响较大，正在积极应对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发生的紧急情况、事故或撤回；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未实际发生，模拟演练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基本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与食品安全管理体系有关的内部和外部因素变化，包括顾客和顾客投诉；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食品安全绩效和食品安全管理体系不符合和纠正措施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监视和测量结果及趋势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审核结果（内部和外部） 包括执法检查结果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与PRP、 OPRP计划和HACCP计划有关的验证活动结果的分析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实现食品安全管理体系目标的程度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外部供方绩效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已进行评审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体系更新活动的评审结果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顾客反馈的沟通活动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紧急情况、 事故或撤回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未实际发生，模拟演练评审有效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持续改进的机会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资源的充分性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为应对风险和机遇所采取措施的有效性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highlight w:val="cyan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对食品安全管理体系的持续适宜性，充分性，有效性的结论。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满足</w:t>
            </w:r>
            <w:r>
              <w:rPr>
                <w:rFonts w:hint="eastAsia"/>
                <w:color w:val="000000"/>
                <w:szCs w:val="21"/>
              </w:rPr>
              <w:t xml:space="preserve"> □</w:t>
            </w:r>
            <w:r>
              <w:rPr>
                <w:rFonts w:hint="eastAsia"/>
              </w:rPr>
              <w:t>不满足，说明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52"/>
              <w:gridCol w:w="3695"/>
              <w:gridCol w:w="24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管理评审输出信息（决策）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措施描述（举例）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改进措施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与持续改进机会相关的决策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加强各部门之间的沟通及信息反馈，严格把好检验关，保证产品质量、进度。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食品安全管理体系所需的变更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资源需求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食品安全目标未实现所采取的措施。（需要时）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改进食品安全管理体系与其他业务过程融合的机会。（需要时）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任何与组织战略方向相关的结论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</w:tbl>
          <w:p>
            <w:pPr>
              <w:rPr>
                <w:highlight w:val="cyan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改进措施未落实的原因：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</w:tc>
        <w:tc>
          <w:tcPr>
            <w:tcW w:w="1589" w:type="dxa"/>
            <w:gridSpan w:val="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>不符合</w:t>
            </w:r>
            <w:r>
              <w:t>和</w:t>
            </w:r>
            <w:r>
              <w:rPr>
                <w:rFonts w:hint="eastAsia"/>
              </w:rPr>
              <w:t>纠</w:t>
            </w:r>
            <w:r>
              <w:t>正措施</w:t>
            </w:r>
          </w:p>
        </w:tc>
        <w:tc>
          <w:tcPr>
            <w:tcW w:w="960" w:type="dxa"/>
            <w:gridSpan w:val="3"/>
            <w:vMerge w:val="restart"/>
          </w:tcPr>
          <w:p>
            <w:r>
              <w:rPr>
                <w:rFonts w:hint="eastAsia"/>
              </w:rPr>
              <w:t>F1</w:t>
            </w:r>
            <w:r>
              <w:t>0</w:t>
            </w:r>
            <w:r>
              <w:rPr>
                <w:rFonts w:hint="eastAsia"/>
              </w:rPr>
              <w:t>.1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</w:t>
            </w:r>
            <w:r>
              <w:t>件名称</w:t>
            </w:r>
          </w:p>
        </w:tc>
        <w:tc>
          <w:tcPr>
            <w:tcW w:w="9256" w:type="dxa"/>
          </w:tcPr>
          <w:p>
            <w:r>
              <w:rPr>
                <w:color w:val="000000"/>
              </w:rPr>
              <w:sym w:font="Wingdings" w:char="00FE"/>
            </w:r>
            <w:r>
              <w:t>管理</w:t>
            </w:r>
            <w:r>
              <w:rPr>
                <w:rFonts w:hint="eastAsia"/>
              </w:rPr>
              <w:t>手</w:t>
            </w:r>
            <w:r>
              <w:t>册</w:t>
            </w:r>
            <w:r>
              <w:rPr>
                <w:rFonts w:hint="eastAsia"/>
              </w:rPr>
              <w:t>第10.1章、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《不合格控制程序》、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《纠正和预防措施控制程序》</w:t>
            </w:r>
          </w:p>
        </w:tc>
        <w:tc>
          <w:tcPr>
            <w:tcW w:w="1589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不符合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gridSpan w:val="3"/>
            <w:vMerge w:val="continue"/>
          </w:tcPr>
          <w:p/>
        </w:tc>
        <w:tc>
          <w:tcPr>
            <w:tcW w:w="745" w:type="dxa"/>
            <w:gridSpan w:val="2"/>
          </w:tcPr>
          <w:p/>
        </w:tc>
        <w:tc>
          <w:tcPr>
            <w:tcW w:w="9256" w:type="dxa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 相关方投诉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产品检查中出现的问题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工作运行中的问题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内审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审核周期内未发生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</w:p>
          <w:p/>
          <w:tbl>
            <w:tblPr>
              <w:tblStyle w:val="7"/>
              <w:tblpPr w:leftFromText="180" w:rightFromText="180" w:vertAnchor="text" w:horzAnchor="margin" w:tblpY="180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1362"/>
              <w:gridCol w:w="1522"/>
              <w:gridCol w:w="1678"/>
              <w:gridCol w:w="1445"/>
              <w:gridCol w:w="223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</w:t>
                  </w:r>
                </w:p>
              </w:tc>
              <w:tc>
                <w:tcPr>
                  <w:tcW w:w="136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不符合描述</w:t>
                  </w:r>
                </w:p>
              </w:tc>
              <w:tc>
                <w:tcPr>
                  <w:tcW w:w="152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不符合纠正</w:t>
                  </w:r>
                </w:p>
              </w:tc>
              <w:tc>
                <w:tcPr>
                  <w:tcW w:w="1678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原因分析</w:t>
                  </w:r>
                </w:p>
              </w:tc>
              <w:tc>
                <w:tcPr>
                  <w:tcW w:w="1445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纠正措施</w:t>
                  </w:r>
                </w:p>
              </w:tc>
              <w:tc>
                <w:tcPr>
                  <w:tcW w:w="2239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6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52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678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45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239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/>
          <w:p/>
        </w:tc>
        <w:tc>
          <w:tcPr>
            <w:tcW w:w="158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>持续改进</w:t>
            </w:r>
          </w:p>
        </w:tc>
        <w:tc>
          <w:tcPr>
            <w:tcW w:w="960" w:type="dxa"/>
            <w:gridSpan w:val="3"/>
            <w:vMerge w:val="restart"/>
          </w:tcPr>
          <w:p>
            <w:r>
              <w:rPr>
                <w:rFonts w:hint="eastAsia"/>
              </w:rPr>
              <w:t>F10.2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管理手册10.2章</w:t>
            </w:r>
          </w:p>
        </w:tc>
        <w:tc>
          <w:tcPr>
            <w:tcW w:w="1589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gridSpan w:val="3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>
            <w:r>
              <w:rPr>
                <w:rFonts w:hint="eastAsia"/>
              </w:rPr>
              <w:t xml:space="preserve">组织已持续改进食品安全管理体系的适宜性、充分性和有效性，以提升食品安全绩效。 </w:t>
            </w:r>
          </w:p>
          <w:p>
            <w:r>
              <w:rPr>
                <w:rFonts w:hint="eastAsia"/>
              </w:rPr>
              <w:t>组织考虑了分析和评价的结果以及管理评审的输出，确定是否存在需求或机遇，这些需求或机遇应作为持续改进的一部分加以应对。</w:t>
            </w:r>
          </w:p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改进措施已落实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改进措施未落实的原因：</w:t>
            </w:r>
            <w:r>
              <w:rPr>
                <w:rFonts w:hint="eastAsia"/>
                <w:u w:val="single"/>
              </w:rPr>
              <w:t xml:space="preserve">                              </w:t>
            </w:r>
          </w:p>
          <w:p/>
          <w:p>
            <w:r>
              <w:rPr>
                <w:rFonts w:hint="eastAsia"/>
              </w:rPr>
              <w:t>最高管理者应确保组织通过以下活动， 持续改进食品安全管理体系的有效性：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沟通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管理评审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内部审核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验证活动结果分析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控制措施验证和控制措施组合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纠正措施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FSMS更新 。</w:t>
            </w:r>
          </w:p>
        </w:tc>
        <w:tc>
          <w:tcPr>
            <w:tcW w:w="158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>食品安全管理体系的更新</w:t>
            </w:r>
          </w:p>
          <w:p/>
        </w:tc>
        <w:tc>
          <w:tcPr>
            <w:tcW w:w="960" w:type="dxa"/>
            <w:gridSpan w:val="3"/>
            <w:vMerge w:val="restart"/>
          </w:tcPr>
          <w:p>
            <w:r>
              <w:rPr>
                <w:rFonts w:hint="eastAsia"/>
              </w:rPr>
              <w:t>F10.3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管理手册10.3章</w:t>
            </w:r>
          </w:p>
        </w:tc>
        <w:tc>
          <w:tcPr>
            <w:tcW w:w="1589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gridSpan w:val="3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>
            <w:pPr>
              <w:rPr>
                <w:u w:val="single"/>
              </w:rPr>
            </w:pPr>
            <w:r>
              <w:t>最高管理者确保FSMS持续更新。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否，说明：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>
            <w:r>
              <w:t>食品安全小组应按计划间隔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每年、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每月、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不定期）</w:t>
            </w:r>
            <w:r>
              <w:t>对食品安全管理体系进行评估。小组应考虑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有必要审查危害分析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已建立的危害控制计划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已建立的PRP。</w:t>
            </w:r>
          </w:p>
          <w:p>
            <w:r>
              <w:t>更新活动应基于：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来自外部和内部</w:t>
            </w:r>
            <w:r>
              <w:rPr>
                <w:rFonts w:hint="eastAsia"/>
              </w:rPr>
              <w:t>沟通信息</w:t>
            </w:r>
            <w:r>
              <w:t>的输入；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其他有关食品安全管理系统的适宜性、充分性和有效性的信息的输入；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验证活动结果分析的输出；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管理评审的输出。</w:t>
            </w:r>
          </w:p>
          <w:p>
            <w:r>
              <w:rPr>
                <w:rFonts w:hint="eastAsia"/>
              </w:rPr>
              <w:t>体系更新活动须以适当的形式予以记录和报告，作为管理评审的输入。</w:t>
            </w:r>
          </w:p>
          <w:p>
            <w:r>
              <w:rPr>
                <w:rFonts w:hint="eastAsia"/>
                <w:color w:val="000000"/>
                <w:szCs w:val="21"/>
              </w:rPr>
              <w:t>本次为初次审核，制定了危害控制计划书相关内容，基本内容没有更新。</w:t>
            </w:r>
          </w:p>
        </w:tc>
        <w:tc>
          <w:tcPr>
            <w:tcW w:w="158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5" w:type="dxa"/>
            <w:gridSpan w:val="2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4"/>
              </w:rPr>
              <w:t>范围的确认，资质的确认，法律法规执行情况，重大质量事故，及顾客投诉和质量监督抽查情况。</w:t>
            </w:r>
          </w:p>
        </w:tc>
        <w:tc>
          <w:tcPr>
            <w:tcW w:w="957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top"/>
          </w:tcPr>
          <w:p>
            <w:pPr>
              <w:spacing w:line="360" w:lineRule="auto"/>
              <w:ind w:firstLine="315" w:firstLineChars="15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62" w:type="dxa"/>
            <w:gridSpan w:val="3"/>
            <w:shd w:val="clear" w:color="auto" w:fill="auto"/>
            <w:vAlign w:val="top"/>
          </w:tcPr>
          <w:p>
            <w:pPr>
              <w:spacing w:line="360" w:lineRule="auto"/>
              <w:ind w:firstLine="315" w:firstLineChars="1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现场确认：发生变更如下：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认证范围变更</w:t>
            </w: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后</w:t>
            </w:r>
            <w:r>
              <w:rPr>
                <w:rFonts w:hint="eastAsia"/>
                <w:szCs w:val="21"/>
                <w:highlight w:val="none"/>
              </w:rPr>
              <w:t>：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b/>
                <w:bCs/>
                <w:highlight w:val="none"/>
              </w:rPr>
            </w:pPr>
            <w:r>
              <w:rPr>
                <w:sz w:val="20"/>
              </w:rPr>
              <w:t>位于福建省泉州市晋江市青阳街道霞行社区埔尾2号前面晋江市实秋商贸有限公司农副产品（果蔬、鲜畜禽肉、水产品）的销售、预包装食品（粮油、调味品、肉类冻品）的销售</w:t>
            </w:r>
            <w:r>
              <w:rPr>
                <w:rFonts w:hint="eastAsia"/>
                <w:sz w:val="20"/>
                <w:lang w:eastAsia="zh-CN"/>
              </w:rPr>
              <w:t>，</w:t>
            </w:r>
            <w:r>
              <w:rPr>
                <w:rFonts w:hint="eastAsia"/>
                <w:b/>
                <w:bCs/>
                <w:highlight w:val="none"/>
              </w:rPr>
              <w:t>具体见变更单。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现场确认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营业执照、食品经营许可证未发生变化。</w:t>
            </w:r>
          </w:p>
          <w:p>
            <w:pPr>
              <w:pStyle w:val="2"/>
              <w:numPr>
                <w:ilvl w:val="0"/>
                <w:numId w:val="3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其他：</w:t>
            </w:r>
          </w:p>
          <w:p>
            <w:pPr>
              <w:spacing w:line="360" w:lineRule="auto"/>
              <w:ind w:firstLine="315" w:firstLineChars="150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从202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月至今，公司没有顾客的重大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食品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安全投诉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/事故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未发生处罚事件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。</w:t>
            </w:r>
          </w:p>
          <w:p>
            <w:pPr>
              <w:spacing w:line="360" w:lineRule="auto"/>
              <w:ind w:firstLine="315" w:firstLineChars="150"/>
              <w:jc w:val="left"/>
              <w:rPr>
                <w:rFonts w:hint="eastAsia" w:ascii="宋体" w:hAnsi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现场查见认证证书、标志的使用无违规使用情况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；</w:t>
            </w:r>
          </w:p>
          <w:p>
            <w:pPr>
              <w:ind w:firstLine="210" w:firstLineChars="100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初审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不符合项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项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经本次审核验证，未出现类似的不符合情况。</w:t>
            </w:r>
          </w:p>
        </w:tc>
        <w:tc>
          <w:tcPr>
            <w:tcW w:w="1585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</w:tr>
    </w:tbl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IDFont+F5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1170" w:firstLineChars="6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103505</wp:posOffset>
          </wp:positionH>
          <wp:positionV relativeFrom="paragraph">
            <wp:posOffset>53340</wp:posOffset>
          </wp:positionV>
          <wp:extent cx="405130" cy="407670"/>
          <wp:effectExtent l="0" t="0" r="1270" b="1143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5130" cy="407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1080" w:firstLineChars="600"/>
      <w:jc w:val="left"/>
      <w:rPr>
        <w:rStyle w:val="13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  <w:pBdr>
        <w:bottom w:val="none" w:color="auto" w:sz="0" w:space="1"/>
      </w:pBdr>
      <w:spacing w:line="320" w:lineRule="exact"/>
      <w:ind w:firstLine="1134" w:firstLineChars="600"/>
      <w:jc w:val="left"/>
      <w:rPr>
        <w:rStyle w:val="13"/>
        <w:rFonts w:hint="default"/>
        <w:w w:val="9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E853B"/>
    <w:multiLevelType w:val="singleLevel"/>
    <w:tmpl w:val="8DEE853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B593B1B"/>
    <w:multiLevelType w:val="singleLevel"/>
    <w:tmpl w:val="EB593B1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9E194F9"/>
    <w:multiLevelType w:val="singleLevel"/>
    <w:tmpl w:val="19E194F9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68EF"/>
    <w:rsid w:val="000237F6"/>
    <w:rsid w:val="0003373A"/>
    <w:rsid w:val="000400E2"/>
    <w:rsid w:val="00053043"/>
    <w:rsid w:val="00062E46"/>
    <w:rsid w:val="000A7EBB"/>
    <w:rsid w:val="000E6B21"/>
    <w:rsid w:val="000E7D69"/>
    <w:rsid w:val="001037D1"/>
    <w:rsid w:val="001140D6"/>
    <w:rsid w:val="0013116F"/>
    <w:rsid w:val="001A2D7F"/>
    <w:rsid w:val="001F1502"/>
    <w:rsid w:val="001F7CDD"/>
    <w:rsid w:val="00203518"/>
    <w:rsid w:val="0023277F"/>
    <w:rsid w:val="0023692C"/>
    <w:rsid w:val="0025386B"/>
    <w:rsid w:val="00266D03"/>
    <w:rsid w:val="002822F1"/>
    <w:rsid w:val="002939AD"/>
    <w:rsid w:val="002A7D96"/>
    <w:rsid w:val="002D5F21"/>
    <w:rsid w:val="002E061E"/>
    <w:rsid w:val="00304BD2"/>
    <w:rsid w:val="00314AF6"/>
    <w:rsid w:val="00324787"/>
    <w:rsid w:val="00334205"/>
    <w:rsid w:val="00334BC0"/>
    <w:rsid w:val="003359ED"/>
    <w:rsid w:val="00337922"/>
    <w:rsid w:val="00340867"/>
    <w:rsid w:val="00380837"/>
    <w:rsid w:val="003A198A"/>
    <w:rsid w:val="003C7F4F"/>
    <w:rsid w:val="003D3B76"/>
    <w:rsid w:val="00410914"/>
    <w:rsid w:val="00422C65"/>
    <w:rsid w:val="00477A20"/>
    <w:rsid w:val="0048201E"/>
    <w:rsid w:val="0049215F"/>
    <w:rsid w:val="004B2B8D"/>
    <w:rsid w:val="004E753A"/>
    <w:rsid w:val="00531A59"/>
    <w:rsid w:val="00536930"/>
    <w:rsid w:val="00541F93"/>
    <w:rsid w:val="005630DE"/>
    <w:rsid w:val="00564E53"/>
    <w:rsid w:val="00571451"/>
    <w:rsid w:val="00583D53"/>
    <w:rsid w:val="005A321A"/>
    <w:rsid w:val="005C6B53"/>
    <w:rsid w:val="005D5659"/>
    <w:rsid w:val="005E2DC1"/>
    <w:rsid w:val="00600C20"/>
    <w:rsid w:val="00644FE2"/>
    <w:rsid w:val="00660E47"/>
    <w:rsid w:val="00663F71"/>
    <w:rsid w:val="0067640C"/>
    <w:rsid w:val="00691D92"/>
    <w:rsid w:val="006C649D"/>
    <w:rsid w:val="006D59AF"/>
    <w:rsid w:val="006D7C48"/>
    <w:rsid w:val="006E2E8A"/>
    <w:rsid w:val="006E678B"/>
    <w:rsid w:val="006E7B1D"/>
    <w:rsid w:val="0070341D"/>
    <w:rsid w:val="00705D46"/>
    <w:rsid w:val="007370D1"/>
    <w:rsid w:val="007757F3"/>
    <w:rsid w:val="007802F7"/>
    <w:rsid w:val="00782A29"/>
    <w:rsid w:val="007860F5"/>
    <w:rsid w:val="007B5A76"/>
    <w:rsid w:val="007C1B48"/>
    <w:rsid w:val="007E3B15"/>
    <w:rsid w:val="007E6AEB"/>
    <w:rsid w:val="0083500B"/>
    <w:rsid w:val="008444F8"/>
    <w:rsid w:val="008630EE"/>
    <w:rsid w:val="008973EE"/>
    <w:rsid w:val="008C05BC"/>
    <w:rsid w:val="0090032F"/>
    <w:rsid w:val="00910EB7"/>
    <w:rsid w:val="00920906"/>
    <w:rsid w:val="00971600"/>
    <w:rsid w:val="009734AB"/>
    <w:rsid w:val="0097671F"/>
    <w:rsid w:val="009973B4"/>
    <w:rsid w:val="009C28C1"/>
    <w:rsid w:val="009D0D15"/>
    <w:rsid w:val="009E7642"/>
    <w:rsid w:val="009F7EED"/>
    <w:rsid w:val="00A109EE"/>
    <w:rsid w:val="00A177CF"/>
    <w:rsid w:val="00A80636"/>
    <w:rsid w:val="00A80E58"/>
    <w:rsid w:val="00AC2E27"/>
    <w:rsid w:val="00AF0AAB"/>
    <w:rsid w:val="00B0570C"/>
    <w:rsid w:val="00B370CC"/>
    <w:rsid w:val="00B50FD7"/>
    <w:rsid w:val="00B801A2"/>
    <w:rsid w:val="00BA5DC8"/>
    <w:rsid w:val="00BB07DF"/>
    <w:rsid w:val="00BE5DD1"/>
    <w:rsid w:val="00BF597E"/>
    <w:rsid w:val="00C03A49"/>
    <w:rsid w:val="00C0490C"/>
    <w:rsid w:val="00C07DE8"/>
    <w:rsid w:val="00C51A36"/>
    <w:rsid w:val="00C55228"/>
    <w:rsid w:val="00C63768"/>
    <w:rsid w:val="00C65F2B"/>
    <w:rsid w:val="00C9360C"/>
    <w:rsid w:val="00C96ED9"/>
    <w:rsid w:val="00CD39EF"/>
    <w:rsid w:val="00CD71D8"/>
    <w:rsid w:val="00CE315A"/>
    <w:rsid w:val="00D06F59"/>
    <w:rsid w:val="00D708B1"/>
    <w:rsid w:val="00D71355"/>
    <w:rsid w:val="00D8388C"/>
    <w:rsid w:val="00DC055B"/>
    <w:rsid w:val="00DC5CCA"/>
    <w:rsid w:val="00DD3530"/>
    <w:rsid w:val="00DE720A"/>
    <w:rsid w:val="00DF0DC3"/>
    <w:rsid w:val="00E01B89"/>
    <w:rsid w:val="00E120F4"/>
    <w:rsid w:val="00E23F04"/>
    <w:rsid w:val="00E25E5F"/>
    <w:rsid w:val="00E44D08"/>
    <w:rsid w:val="00E44EDD"/>
    <w:rsid w:val="00E6224C"/>
    <w:rsid w:val="00E651B8"/>
    <w:rsid w:val="00E65C8F"/>
    <w:rsid w:val="00EB0164"/>
    <w:rsid w:val="00EC57BB"/>
    <w:rsid w:val="00ED0F62"/>
    <w:rsid w:val="00ED30F1"/>
    <w:rsid w:val="00F13C66"/>
    <w:rsid w:val="00F2198C"/>
    <w:rsid w:val="00F306B5"/>
    <w:rsid w:val="00F43A54"/>
    <w:rsid w:val="00F5414D"/>
    <w:rsid w:val="00F56D22"/>
    <w:rsid w:val="00F57056"/>
    <w:rsid w:val="00F57C2A"/>
    <w:rsid w:val="00F64E10"/>
    <w:rsid w:val="00F7499A"/>
    <w:rsid w:val="00F95ED9"/>
    <w:rsid w:val="00FF6820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3D96F6F"/>
    <w:rsid w:val="0405614C"/>
    <w:rsid w:val="0446320C"/>
    <w:rsid w:val="04883DB3"/>
    <w:rsid w:val="049166B1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5A01DF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D4370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DD4A95"/>
    <w:rsid w:val="15F7492E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AA51C2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6465C0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19DC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095E1A"/>
    <w:rsid w:val="324E5138"/>
    <w:rsid w:val="325251B2"/>
    <w:rsid w:val="32A772DD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DE2120E"/>
    <w:rsid w:val="3DF2719F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8397913"/>
    <w:rsid w:val="4949229C"/>
    <w:rsid w:val="49C0281D"/>
    <w:rsid w:val="49E449BF"/>
    <w:rsid w:val="49EC77B8"/>
    <w:rsid w:val="49ED5B1C"/>
    <w:rsid w:val="4AD45EF1"/>
    <w:rsid w:val="4ADD13CB"/>
    <w:rsid w:val="4AE04A18"/>
    <w:rsid w:val="4B337454"/>
    <w:rsid w:val="4B407CC6"/>
    <w:rsid w:val="4B42232B"/>
    <w:rsid w:val="4B464DA1"/>
    <w:rsid w:val="4B825A76"/>
    <w:rsid w:val="4B8B3702"/>
    <w:rsid w:val="4B9B0D7E"/>
    <w:rsid w:val="4BC83B65"/>
    <w:rsid w:val="4C1A1162"/>
    <w:rsid w:val="4CA74E41"/>
    <w:rsid w:val="4CA91B51"/>
    <w:rsid w:val="4CB62537"/>
    <w:rsid w:val="4CD2365B"/>
    <w:rsid w:val="4D352804"/>
    <w:rsid w:val="4D3D578E"/>
    <w:rsid w:val="4D636299"/>
    <w:rsid w:val="4D791805"/>
    <w:rsid w:val="4D8F2F88"/>
    <w:rsid w:val="4DB86BCB"/>
    <w:rsid w:val="4DD85058"/>
    <w:rsid w:val="4E0166A9"/>
    <w:rsid w:val="4E1551DB"/>
    <w:rsid w:val="4E7774D0"/>
    <w:rsid w:val="4F256EAD"/>
    <w:rsid w:val="4F594843"/>
    <w:rsid w:val="4F634A59"/>
    <w:rsid w:val="4F93529D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E93AEB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EF4D06"/>
    <w:rsid w:val="570A6E63"/>
    <w:rsid w:val="573B0118"/>
    <w:rsid w:val="573D2268"/>
    <w:rsid w:val="57411925"/>
    <w:rsid w:val="57441E32"/>
    <w:rsid w:val="57535542"/>
    <w:rsid w:val="575B3098"/>
    <w:rsid w:val="577F2D1A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386EB4"/>
    <w:rsid w:val="5A407674"/>
    <w:rsid w:val="5A432974"/>
    <w:rsid w:val="5A6A20C5"/>
    <w:rsid w:val="5AD64AF2"/>
    <w:rsid w:val="5B544EB3"/>
    <w:rsid w:val="5B6A33DD"/>
    <w:rsid w:val="5BF04FFA"/>
    <w:rsid w:val="5C045A62"/>
    <w:rsid w:val="5C4D2649"/>
    <w:rsid w:val="5C817788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0754B6"/>
    <w:rsid w:val="6018182B"/>
    <w:rsid w:val="601E0F43"/>
    <w:rsid w:val="60596F8D"/>
    <w:rsid w:val="608075E1"/>
    <w:rsid w:val="61326FB1"/>
    <w:rsid w:val="61384C31"/>
    <w:rsid w:val="61E77A7E"/>
    <w:rsid w:val="61F16F63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7D56E9"/>
    <w:rsid w:val="64A537DD"/>
    <w:rsid w:val="64B45425"/>
    <w:rsid w:val="64B96E85"/>
    <w:rsid w:val="64BB6795"/>
    <w:rsid w:val="64D069A0"/>
    <w:rsid w:val="64F27E75"/>
    <w:rsid w:val="65067C78"/>
    <w:rsid w:val="653C2C5E"/>
    <w:rsid w:val="65662197"/>
    <w:rsid w:val="656B5D01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44529D"/>
    <w:rsid w:val="68B54AF7"/>
    <w:rsid w:val="68CA009F"/>
    <w:rsid w:val="695B5920"/>
    <w:rsid w:val="69B35A0D"/>
    <w:rsid w:val="69CC607C"/>
    <w:rsid w:val="69EA1163"/>
    <w:rsid w:val="69F96768"/>
    <w:rsid w:val="6A287F98"/>
    <w:rsid w:val="6A6F1ADB"/>
    <w:rsid w:val="6AB40496"/>
    <w:rsid w:val="6ABD1D5E"/>
    <w:rsid w:val="6AF33939"/>
    <w:rsid w:val="6B795D62"/>
    <w:rsid w:val="6B910AA0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8F1120"/>
    <w:rsid w:val="6F9A4A47"/>
    <w:rsid w:val="6FD909A9"/>
    <w:rsid w:val="701710D0"/>
    <w:rsid w:val="70795456"/>
    <w:rsid w:val="709946EC"/>
    <w:rsid w:val="72702455"/>
    <w:rsid w:val="728F2E47"/>
    <w:rsid w:val="72973011"/>
    <w:rsid w:val="72E42D1B"/>
    <w:rsid w:val="731254DC"/>
    <w:rsid w:val="734F0911"/>
    <w:rsid w:val="736054C4"/>
    <w:rsid w:val="736C572D"/>
    <w:rsid w:val="73A422EB"/>
    <w:rsid w:val="74103E55"/>
    <w:rsid w:val="745B622A"/>
    <w:rsid w:val="753E2D2E"/>
    <w:rsid w:val="756349C8"/>
    <w:rsid w:val="75DB13A5"/>
    <w:rsid w:val="75E552E3"/>
    <w:rsid w:val="75EC38CD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ACB083F"/>
    <w:rsid w:val="7B1F77A4"/>
    <w:rsid w:val="7B292799"/>
    <w:rsid w:val="7C090682"/>
    <w:rsid w:val="7C4E6027"/>
    <w:rsid w:val="7C6A6CA8"/>
    <w:rsid w:val="7CF04E00"/>
    <w:rsid w:val="7D0B04E5"/>
    <w:rsid w:val="7D41026F"/>
    <w:rsid w:val="7D59343F"/>
    <w:rsid w:val="7E0A78B3"/>
    <w:rsid w:val="7E2912F3"/>
    <w:rsid w:val="7F781020"/>
    <w:rsid w:val="7F9026D0"/>
    <w:rsid w:val="7F984417"/>
    <w:rsid w:val="7FD91DE8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1576</Words>
  <Characters>8984</Characters>
  <Lines>74</Lines>
  <Paragraphs>21</Paragraphs>
  <TotalTime>11</TotalTime>
  <ScaleCrop>false</ScaleCrop>
  <LinksUpToDate>false</LinksUpToDate>
  <CharactersWithSpaces>10539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2022-02-11T06:35:41Z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856D01A1096B485C836F8AD4B8DEA2E5</vt:lpwstr>
  </property>
</Properties>
</file>