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14"/>
        <w:gridCol w:w="912"/>
        <w:gridCol w:w="8"/>
        <w:gridCol w:w="2"/>
        <w:gridCol w:w="1"/>
        <w:gridCol w:w="742"/>
        <w:gridCol w:w="2"/>
        <w:gridCol w:w="1"/>
        <w:gridCol w:w="6"/>
        <w:gridCol w:w="9248"/>
        <w:gridCol w:w="5"/>
        <w:gridCol w:w="1266"/>
        <w:gridCol w:w="24"/>
        <w:gridCol w:w="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9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负责人：林敏珠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陪同人员：庄树群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3"/>
            <w:vMerge w:val="continue"/>
            <w:vAlign w:val="center"/>
          </w:tcPr>
          <w:p/>
        </w:tc>
        <w:tc>
          <w:tcPr>
            <w:tcW w:w="10015" w:type="dxa"/>
            <w:gridSpan w:val="9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2-02-10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3"/>
            <w:vMerge w:val="continue"/>
            <w:vAlign w:val="center"/>
          </w:tcPr>
          <w:p/>
        </w:tc>
        <w:tc>
          <w:tcPr>
            <w:tcW w:w="10015" w:type="dxa"/>
            <w:gridSpan w:val="9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审核条款：FSMS:5.3/6.2/7.1.3/7.1.4/</w:t>
            </w:r>
            <w:r>
              <w:rPr>
                <w:rFonts w:hint="eastAsia"/>
                <w:lang w:val="en-US" w:eastAsia="zh-CN"/>
              </w:rPr>
              <w:t>7.1.6/</w:t>
            </w:r>
            <w:r>
              <w:rPr>
                <w:rFonts w:hint="eastAsia"/>
              </w:rPr>
              <w:t>8.2/8.3/8.4/8.5.4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7/8.9.1-8.9.5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主要负责接受客户订单，汇总客户订单安排采购；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车辆维保、负责组织产品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  <w:lang w:val="en-US" w:eastAsia="zh-CN"/>
              </w:rPr>
              <w:t>危害控制计划的实施、纠偏，原辅料验收、配送过程控制等工作。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经沟通了解部门职责未发生变化，部门负责人发生变更。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301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3"/>
              <w:gridCol w:w="1300"/>
              <w:gridCol w:w="1360"/>
              <w:gridCol w:w="144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2022.01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供应商评价率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98.8%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进货检验合格率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≥ 98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</w:rPr>
                    <w:t>配送及时率</w:t>
                  </w: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</w:rPr>
                    <w:t>车辆故障发生频次</w:t>
                  </w: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highlight w:val="none"/>
                    </w:rPr>
                    <w:t>≤2次/月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3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目标完成，2021年度目标本部门已经完成，2022年度2月份目标在实施中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>
            <w:r>
              <w:rPr>
                <w:rFonts w:hint="eastAsia"/>
              </w:rPr>
              <w:t>H6.6</w:t>
            </w:r>
          </w:p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生产设备管理控制程序</w:t>
            </w:r>
            <w:r>
              <w:rPr>
                <w:rFonts w:hint="eastAsia"/>
              </w:rPr>
              <w:t>》、</w:t>
            </w:r>
          </w:p>
          <w:p/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ind w:left="1470" w:hanging="1470" w:hangingChars="7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基础设施包括：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库房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加工设备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特种设备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电梯，承租方进行管理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动力设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highlight w:val="none"/>
              </w:rPr>
              <w:t>设备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辅助设施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车辆</w:t>
            </w:r>
          </w:p>
          <w:p>
            <w:pPr>
              <w:pStyle w:val="11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主要是车辆2量、1个冷冻柜，车辆5000公里保养1次，到指定的维修厂【晋江市佳泰汽车维修厂】进行保养，提供有维保付款凭证：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3842"/>
              <w:gridCol w:w="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维保车辆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维保时间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维保内容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eastAsia" w:eastAsia="宋体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车牌号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闽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C65MQ3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2022-01-10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  <w:t>三清四轮保养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、</w:t>
                  </w:r>
                </w:p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  <w:t>拆装更换右轮轴承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车牌号闽CM969R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2022-01-10</w:t>
                  </w:r>
                </w:p>
              </w:tc>
              <w:tc>
                <w:tcPr>
                  <w:tcW w:w="3842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清四轮保养</w:t>
                  </w:r>
                  <w:r>
                    <w:rPr>
                      <w:rFonts w:hint="eastAsia" w:ascii="Calibri" w:hAnsi="Calibri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、拆装左前叶子板内衬更换喷水电机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冷冻柜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842" w:type="dxa"/>
                </w:tcPr>
                <w:p>
                  <w:pPr>
                    <w:pStyle w:val="11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主要日常清洁除霜为主，未保留记录，已现场沟通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eastAsia" w:ascii="Calibri" w:hAnsi="Calibri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设备完好情况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客梯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263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调整上班时间、合理安排员工休息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RPR(GMP</w:t>
                  </w:r>
                  <w:r>
                    <w:rPr>
                      <w:rFonts w:hint="eastAsia"/>
                    </w:rPr>
                    <w:t>》和《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</w:rPr>
              <w:t>公司位于</w:t>
            </w:r>
            <w:bookmarkStart w:id="0" w:name="注册地址"/>
            <w:r>
              <w:rPr>
                <w:rFonts w:asciiTheme="minorEastAsia" w:hAnsiTheme="minorEastAsia" w:eastAsiaTheme="minorEastAsia"/>
                <w:sz w:val="20"/>
              </w:rPr>
              <w:t>福建省泉州市晋江市青阳街道霞行社区埔尾2号前面</w:t>
            </w:r>
            <w:bookmarkEnd w:id="0"/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  <w:r>
              <w:rPr>
                <w:rFonts w:hint="eastAsia"/>
                <w:lang w:val="en-US" w:eastAsia="zh-CN"/>
              </w:rPr>
              <w:t>执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经营面积约有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办公室1间，</w:t>
            </w:r>
            <w:r>
              <w:rPr>
                <w:rFonts w:hint="eastAsia" w:ascii="宋体" w:hAnsi="宋体"/>
                <w:szCs w:val="21"/>
                <w:u w:val="single"/>
              </w:rPr>
              <w:t>设有卫生间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1个，与办公区有分隔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主要生产设备有：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2辆常温配送车；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冷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冻柜1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个；</w:t>
            </w: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审核周期内未发生变化。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现场观察农副产品（果蔬、鲜畜禽肉、水产品）、预包装食品</w:t>
            </w:r>
            <w:r>
              <w:rPr>
                <w:sz w:val="20"/>
                <w:u w:val="single"/>
              </w:rPr>
              <w:t>（粮油、调味品、肉类冻品）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销售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使用城市用水；只用于清洁（洗手、清洗食品周转箱、车辆清洁、仓库清洁、卫生间）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default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现场检查</w:t>
            </w:r>
            <w:r>
              <w:rPr>
                <w:rFonts w:hint="eastAsia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办公室设置有捕鼠笼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有灭火器；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垃圾桶在室外；无污水；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鼠害定期检查，未保留记录，已现场沟通。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ind w:firstLine="230" w:firstLineChars="1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 w:eastAsia="zh-CN"/>
              </w:rPr>
              <w:t>设备主要是车辆和1个冷柜，见7.1.4条款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运营部7.1.6条款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运营部8.9.2 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办公室存放有少量的地瓜、洋葱、土豆，冷柜中有1箱冻鱿鱼和冻1箱秋刀鱼，经沟通是前年客户预定存放的，属于特殊情况，正常销售过程中，受学校幼儿园的特殊性，食材当日采买，当日配送，基本控制零库存。办公室区域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基本干净整洁、分区域存放、灭火器完好，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食材当时采买，当时配送，水产类、畜禽肉类分框存放，基本可以防止交叉污染；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车辆主要以清洁为主，每月进行1次消毒，提供有《配送车辆清洗消毒记录》，抽查2021年度，无异常，采用84消毒液喷洒方式，但未保留84消毒液配置记录，现场沟通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盛装果蔬的外包装框子、水产品（少量）的外包装泡沫箱，定期进行清洗；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健康证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销售行业无强制要求，目前客户学校主要要求：打疫苗、查健康码/行程卡等，见综合部审核记录</w:t>
            </w:r>
            <w:r>
              <w:rPr>
                <w:rFonts w:hint="eastAsia"/>
                <w:highlight w:val="none"/>
                <w:u w:val="single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hint="eastAsia"/>
                <w:highlight w:val="none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检查身体状况，无异常方可上岗，但未保留监控记录，已现场沟通；</w:t>
            </w:r>
          </w:p>
          <w:p>
            <w:pPr>
              <w:pStyle w:val="11"/>
              <w:ind w:firstLine="23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良好身体健康告知（有告知，有管理，但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未</w:t>
            </w:r>
            <w:r>
              <w:rPr>
                <w:rFonts w:hint="eastAsia"/>
                <w:highlight w:val="none"/>
                <w:u w:val="single"/>
              </w:rPr>
              <w:t>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</w:t>
            </w:r>
            <w:r>
              <w:rPr>
                <w:rFonts w:hint="eastAsia"/>
                <w:u w:val="single"/>
                <w:lang w:val="en-US" w:eastAsia="zh-CN"/>
              </w:rPr>
              <w:t>为采购各类食材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幼儿园食堂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68" w:hRule="atLeast"/>
        </w:trPr>
        <w:tc>
          <w:tcPr>
            <w:tcW w:w="2197" w:type="dxa"/>
            <w:gridSpan w:val="4"/>
            <w:vMerge w:val="restart"/>
          </w:tcPr>
          <w:p>
            <w:r>
              <w:t>标识和可追溯性</w:t>
            </w:r>
          </w:p>
        </w:tc>
        <w:tc>
          <w:tcPr>
            <w:tcW w:w="922" w:type="dxa"/>
            <w:gridSpan w:val="3"/>
            <w:vMerge w:val="restart"/>
          </w:tcPr>
          <w:p>
            <w:r>
              <w:t>F8.3</w:t>
            </w:r>
          </w:p>
          <w:p/>
        </w:tc>
        <w:tc>
          <w:tcPr>
            <w:tcW w:w="745" w:type="dxa"/>
            <w:gridSpan w:val="3"/>
          </w:tcPr>
          <w:p>
            <w:r>
              <w:t>文件名称</w:t>
            </w:r>
          </w:p>
        </w:tc>
        <w:tc>
          <w:tcPr>
            <w:tcW w:w="9255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手册8.5.2条款、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《产品标识和可追溯性控制程序</w:t>
            </w:r>
            <w:r>
              <w:rPr>
                <w:szCs w:val="16"/>
              </w:rPr>
              <w:t>》</w:t>
            </w:r>
            <w:r>
              <w:t>、《产品/服务提供控制程序》、《标识和可追溯性控制程序》、《产品留样制度》、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《信息交流控制程序》</w:t>
            </w:r>
          </w:p>
        </w:tc>
        <w:tc>
          <w:tcPr>
            <w:tcW w:w="1271" w:type="dxa"/>
            <w:gridSpan w:val="2"/>
            <w:vMerge w:val="restart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8" w:hRule="atLeast"/>
        </w:trPr>
        <w:tc>
          <w:tcPr>
            <w:tcW w:w="2197" w:type="dxa"/>
            <w:gridSpan w:val="4"/>
            <w:vMerge w:val="continue"/>
          </w:tcPr>
          <w:p/>
        </w:tc>
        <w:tc>
          <w:tcPr>
            <w:tcW w:w="922" w:type="dxa"/>
            <w:gridSpan w:val="3"/>
            <w:vMerge w:val="continue"/>
          </w:tcPr>
          <w:p/>
        </w:tc>
        <w:tc>
          <w:tcPr>
            <w:tcW w:w="745" w:type="dxa"/>
            <w:gridSpan w:val="3"/>
          </w:tcPr>
          <w:p>
            <w:r>
              <w:t>运行证据</w:t>
            </w:r>
          </w:p>
        </w:tc>
        <w:tc>
          <w:tcPr>
            <w:tcW w:w="9255" w:type="dxa"/>
            <w:gridSpan w:val="3"/>
          </w:tcPr>
          <w:p>
            <w:r>
              <w:t>产品的检验状态标识：</w:t>
            </w:r>
            <w:r>
              <w:rPr/>
              <w:sym w:font="Wingdings" w:char="00A8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FE"/>
            </w:r>
            <w:r>
              <w:t>其他</w:t>
            </w:r>
            <w:r>
              <w:rPr>
                <w:rFonts w:hint="eastAsia"/>
              </w:rPr>
              <w:t>——周转筐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/>
          <w:p>
            <w:r>
              <w:t xml:space="preserve">半成品的唯一性标识方式： </w:t>
            </w:r>
            <w:r>
              <w:rPr>
                <w:rFonts w:hint="eastAsia"/>
              </w:rPr>
              <w:t>（不涉及）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/>
          <w:p>
            <w:r>
              <w:t xml:space="preserve">成品的唯一性标识方式：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>
            <w:r>
              <w:t xml:space="preserve">组织于 </w:t>
            </w:r>
            <w:r>
              <w:rPr>
                <w:u w:val="single"/>
              </w:rPr>
              <w:t xml:space="preserve"> 202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t xml:space="preserve">年 </w:t>
            </w:r>
            <w:r>
              <w:rPr>
                <w:rFonts w:hint="eastAsia"/>
                <w:u w:val="single"/>
                <w:lang w:val="en-US" w:eastAsia="zh-CN"/>
              </w:rPr>
              <w:t xml:space="preserve">09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21</w:t>
            </w:r>
            <w:r>
              <w:t>日验证和测试可追溯性体系的有效性。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1580"/>
              <w:gridCol w:w="1210"/>
              <w:gridCol w:w="1560"/>
              <w:gridCol w:w="124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580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210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56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244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1-09-21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配送给客户的蔬菜撞坏</w:t>
                  </w:r>
                </w:p>
              </w:tc>
              <w:tc>
                <w:tcPr>
                  <w:tcW w:w="12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1-09-21</w:t>
                  </w:r>
                </w:p>
              </w:tc>
              <w:tc>
                <w:tcPr>
                  <w:tcW w:w="1244" w:type="dxa"/>
                </w:tcPr>
                <w:p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1-09-21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全部追回，致歉，并按订单要求配送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210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24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召回产品不涉及食品安全特性方面，已现场沟通，后期改进</w:t>
            </w:r>
          </w:p>
          <w:p>
            <w:pPr>
              <w:pStyle w:val="2"/>
            </w:pPr>
          </w:p>
          <w:p>
            <w:r>
              <w:t>可追溯性系统证据的保留期限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24</w:t>
            </w:r>
            <w:r>
              <w:rPr>
                <w:u w:val="single"/>
              </w:rPr>
              <w:t xml:space="preserve"> </w:t>
            </w:r>
            <w:r>
              <w:t xml:space="preserve">个月，至少包括产品的保质期 </w:t>
            </w:r>
            <w:r>
              <w:rPr>
                <w:u w:val="single"/>
              </w:rPr>
              <w:t xml:space="preserve">不涉及 </w:t>
            </w:r>
            <w:r>
              <w:t>个月。</w:t>
            </w:r>
          </w:p>
          <w:p/>
          <w:p>
            <w:r>
              <w:t>产品留样</w:t>
            </w:r>
            <w:r>
              <w:rPr>
                <w:rFonts w:hint="eastAsia"/>
              </w:rPr>
              <w:t>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769" w:hRule="atLeast"/>
        </w:trPr>
        <w:tc>
          <w:tcPr>
            <w:tcW w:w="2197" w:type="dxa"/>
            <w:gridSpan w:val="4"/>
            <w:vMerge w:val="continue"/>
          </w:tcPr>
          <w:p/>
        </w:tc>
        <w:tc>
          <w:tcPr>
            <w:tcW w:w="922" w:type="dxa"/>
            <w:gridSpan w:val="3"/>
            <w:vMerge w:val="continue"/>
          </w:tcPr>
          <w:p/>
        </w:tc>
        <w:tc>
          <w:tcPr>
            <w:tcW w:w="745" w:type="dxa"/>
            <w:gridSpan w:val="3"/>
          </w:tcPr>
          <w:p>
            <w:r>
              <w:t>现场观察</w:t>
            </w:r>
          </w:p>
        </w:tc>
        <w:tc>
          <w:tcPr>
            <w:tcW w:w="9255" w:type="dxa"/>
            <w:gridSpan w:val="3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在办公室临时存放少量易储存的地瓜、洋葱、土豆，装框存放在托盘上；冷柜中存放1箱冷冻鱿鱼、1箱带鱼，经沟通了解年前放假，客户需求，用于临时周转。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</w:p>
          <w:p>
            <w:r>
              <w:t>在生产或服务场所对半成品的标识情况：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  <w:r>
              <w:rPr>
                <w:rFonts w:hint="eastAsia"/>
              </w:rPr>
              <w:t>（不涉及）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lang w:val="en-US" w:eastAsia="zh-CN"/>
              </w:rPr>
              <w:t>同原材料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eastAsia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</w:rPr>
              <w:t>（不涉及）</w:t>
            </w:r>
          </w:p>
          <w:p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  <w:r>
              <w:rPr>
                <w:rFonts w:hint="eastAsia"/>
              </w:rPr>
              <w:t>（不涉及）</w:t>
            </w:r>
          </w:p>
          <w:p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</w:rPr>
              <w:t>（不涉及）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dxa"/>
          <w:wAfter w:w="319" w:type="dxa"/>
          <w:trHeight w:val="468" w:hRule="atLeast"/>
        </w:trPr>
        <w:tc>
          <w:tcPr>
            <w:tcW w:w="2174" w:type="dxa"/>
            <w:gridSpan w:val="2"/>
            <w:vMerge w:val="restart"/>
          </w:tcPr>
          <w:p>
            <w:r>
              <w:t>应急预案</w:t>
            </w:r>
          </w:p>
        </w:tc>
        <w:tc>
          <w:tcPr>
            <w:tcW w:w="936" w:type="dxa"/>
            <w:gridSpan w:val="4"/>
            <w:vMerge w:val="restart"/>
          </w:tcPr>
          <w:p>
            <w:r>
              <w:t>F8.4</w:t>
            </w:r>
          </w:p>
          <w:p/>
        </w:tc>
        <w:tc>
          <w:tcPr>
            <w:tcW w:w="745" w:type="dxa"/>
            <w:gridSpan w:val="3"/>
          </w:tcPr>
          <w:p>
            <w:r>
              <w:t>文件名称</w:t>
            </w:r>
          </w:p>
        </w:tc>
        <w:tc>
          <w:tcPr>
            <w:tcW w:w="9255" w:type="dxa"/>
            <w:gridSpan w:val="3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27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dxa"/>
          <w:wAfter w:w="319" w:type="dxa"/>
          <w:trHeight w:val="180" w:hRule="atLeast"/>
        </w:trPr>
        <w:tc>
          <w:tcPr>
            <w:tcW w:w="2174" w:type="dxa"/>
            <w:gridSpan w:val="2"/>
            <w:vMerge w:val="continue"/>
          </w:tcPr>
          <w:p/>
        </w:tc>
        <w:tc>
          <w:tcPr>
            <w:tcW w:w="936" w:type="dxa"/>
            <w:gridSpan w:val="4"/>
            <w:vMerge w:val="continue"/>
          </w:tcPr>
          <w:p/>
        </w:tc>
        <w:tc>
          <w:tcPr>
            <w:tcW w:w="745" w:type="dxa"/>
            <w:gridSpan w:val="3"/>
          </w:tcPr>
          <w:p>
            <w:r>
              <w:t>运行证据</w:t>
            </w:r>
          </w:p>
        </w:tc>
        <w:tc>
          <w:tcPr>
            <w:tcW w:w="9255" w:type="dxa"/>
            <w:gridSpan w:val="3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FE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" w:char="00A8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其他—食品供应链的突变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FE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20</w:t>
            </w:r>
            <w:r>
              <w:rPr>
                <w:rFonts w:hint="eastAsia"/>
                <w:u w:val="single"/>
                <w:lang w:val="en-US" w:eastAsia="zh-CN"/>
              </w:rPr>
              <w:t>21.06</w:t>
            </w:r>
            <w:r>
              <w:rPr>
                <w:u w:val="single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触电事故应急演练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202</w:t>
            </w:r>
            <w:r>
              <w:rPr>
                <w:rFonts w:hint="eastAsia"/>
                <w:u w:val="single"/>
                <w:lang w:val="en-US" w:eastAsia="zh-CN"/>
              </w:rPr>
              <w:t xml:space="preserve">1.06 </w:t>
            </w:r>
            <w:r>
              <w:rPr>
                <w:u w:val="single"/>
              </w:rPr>
              <w:t xml:space="preserve">         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540" w:hRule="atLeast"/>
        </w:trPr>
        <w:tc>
          <w:tcPr>
            <w:tcW w:w="2183" w:type="dxa"/>
            <w:gridSpan w:val="3"/>
            <w:vMerge w:val="restart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37" w:type="dxa"/>
            <w:gridSpan w:val="5"/>
            <w:vMerge w:val="restart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F8.5.4.5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295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1635" w:hRule="atLeast"/>
        </w:trPr>
        <w:tc>
          <w:tcPr>
            <w:tcW w:w="2183" w:type="dxa"/>
            <w:gridSpan w:val="3"/>
            <w:vMerge w:val="continue"/>
          </w:tcPr>
          <w:p/>
        </w:tc>
        <w:tc>
          <w:tcPr>
            <w:tcW w:w="937" w:type="dxa"/>
            <w:gridSpan w:val="5"/>
            <w:vMerge w:val="continue"/>
          </w:tcPr>
          <w:p/>
        </w:tc>
        <w:tc>
          <w:tcPr>
            <w:tcW w:w="745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ind w:left="210" w:leftChars="100"/>
            </w:pPr>
          </w:p>
          <w:p>
            <w:pPr>
              <w:ind w:left="210" w:leftChars="100"/>
            </w:pPr>
            <w:r>
              <w:rPr>
                <w:rFonts w:hint="eastAsia"/>
              </w:rPr>
              <w:t>目前企业无外包过程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共7家合格供方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晋江市青阳曾井张金宝肉摊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农副</w:t>
                  </w:r>
                  <w:r>
                    <w:t>产品</w:t>
                  </w:r>
                  <w:r>
                    <w:rPr>
                      <w:rFonts w:hint="eastAsia"/>
                    </w:rPr>
                    <w:t>：鲜猪肉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 </w:t>
                  </w:r>
                  <w:r>
                    <w:t>350582600016802</w:t>
                  </w:r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t>肉品</w:t>
                  </w:r>
                  <w:r>
                    <w:rPr>
                      <w:rFonts w:hint="eastAsia"/>
                    </w:rPr>
                    <w:t>品质检</w:t>
                  </w:r>
                  <w:r>
                    <w:t>验合格证（</w:t>
                  </w:r>
                  <w:r>
                    <w:rPr>
                      <w:rFonts w:hint="eastAsia"/>
                    </w:rPr>
                    <w:t>非洲</w:t>
                  </w:r>
                  <w:r>
                    <w:t>猪</w:t>
                  </w:r>
                  <w:r>
                    <w:rPr>
                      <w:rFonts w:hint="eastAsia"/>
                    </w:rPr>
                    <w:t>瘟</w:t>
                  </w:r>
                  <w:r>
                    <w:t>检验合</w:t>
                  </w:r>
                  <w:r>
                    <w:rPr>
                      <w:rFonts w:hint="eastAsia"/>
                    </w:rPr>
                    <w:t>格阴</w:t>
                  </w:r>
                  <w:r>
                    <w:t>性</w:t>
                  </w:r>
                  <w:r>
                    <w:rPr>
                      <w:rFonts w:hint="eastAsia"/>
                    </w:rPr>
                    <w:t>）编</w:t>
                  </w:r>
                  <w:r>
                    <w:t>号：</w:t>
                  </w:r>
                  <w:r>
                    <w:rPr>
                      <w:rFonts w:hint="eastAsia"/>
                      <w:lang w:val="en-US" w:eastAsia="zh-CN"/>
                    </w:rPr>
                    <w:t>014163846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检</w:t>
                  </w:r>
                  <w:r>
                    <w:t>验机构：</w:t>
                  </w:r>
                  <w:r>
                    <w:rPr>
                      <w:rFonts w:hint="eastAsia"/>
                    </w:rPr>
                    <w:t>晋</w:t>
                  </w:r>
                  <w:r>
                    <w:t>江市</w:t>
                  </w:r>
                  <w:r>
                    <w:rPr>
                      <w:rFonts w:hint="eastAsia"/>
                      <w:lang w:val="en-US" w:eastAsia="zh-CN"/>
                    </w:rPr>
                    <w:t>食品公司</w:t>
                  </w:r>
                  <w:r>
                    <w:t>肉联</w:t>
                  </w:r>
                  <w:r>
                    <w:rPr>
                      <w:rFonts w:hint="eastAsia"/>
                    </w:rPr>
                    <w:t>厂 检</w:t>
                  </w:r>
                  <w:r>
                    <w:t>验日期：</w:t>
                  </w: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2.01.14；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动</w:t>
                  </w:r>
                  <w:r>
                    <w:t>物检疫合</w:t>
                  </w:r>
                  <w:r>
                    <w:rPr>
                      <w:rFonts w:hint="eastAsia"/>
                    </w:rPr>
                    <w:t>格</w:t>
                  </w:r>
                  <w:r>
                    <w:t>证明</w:t>
                  </w:r>
                  <w:r>
                    <w:rPr>
                      <w:rFonts w:hint="eastAsia"/>
                    </w:rPr>
                    <w:t>： 编号</w:t>
                  </w:r>
                  <w: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3569457079，</w:t>
                  </w:r>
                  <w:r>
                    <w:rPr>
                      <w:rFonts w:hint="eastAsia"/>
                    </w:rPr>
                    <w:t>检测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2.01.14；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同时抽取：2022-01-15的猪胴体/白条、2022-01-07的猪胴体/白条，结论同上。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晋江市青阳泓洋食品商行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农</w:t>
                  </w:r>
                  <w:r>
                    <w:rPr>
                      <w:rFonts w:hint="eastAsia"/>
                      <w:lang w:val="en-US" w:eastAsia="zh-CN"/>
                    </w:rPr>
                    <w:t>副</w:t>
                  </w:r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：冻品肉</w:t>
                  </w:r>
                  <w:r>
                    <w:rPr>
                      <w:rFonts w:hint="eastAsia"/>
                      <w:lang w:val="en-US" w:eastAsia="zh-CN"/>
                    </w:rPr>
                    <w:t>类：</w:t>
                  </w:r>
                  <w:r>
                    <w:t>鸭产品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   92350582MA317AN3XC</w:t>
                  </w:r>
                  <w:r>
                    <w:t xml:space="preserve">       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《食品经营许可证》编号：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检验</w:t>
                  </w:r>
                  <w:r>
                    <w:t>检疫证明：</w:t>
                  </w:r>
                </w:p>
                <w:p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鸭</w:t>
                  </w:r>
                  <w:r>
                    <w:t>产品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验日期：</w:t>
                  </w: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1.09.16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验编号：</w:t>
                  </w:r>
                  <w:r>
                    <w:rPr>
                      <w:rFonts w:hint="eastAsia"/>
                      <w:lang w:val="en-US" w:eastAsia="zh-CN"/>
                    </w:rPr>
                    <w:t>3737650008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</w:t>
                  </w:r>
                  <w:r>
                    <w:rPr>
                      <w:rFonts w:hint="eastAsia"/>
                    </w:rPr>
                    <w:t>：</w:t>
                  </w:r>
                  <w:r>
                    <w:t>合</w:t>
                  </w:r>
                  <w:r>
                    <w:rPr>
                      <w:rFonts w:hint="eastAsia"/>
                    </w:rPr>
                    <w:t>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福建禾恒蔬菜批发市场有限公司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果蔬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《营业执照》编号：91350582MA3452EM82 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  <w:r>
                    <w:t>农</w:t>
                  </w:r>
                  <w:r>
                    <w:rPr>
                      <w:rFonts w:hint="eastAsia"/>
                    </w:rPr>
                    <w:t>残</w:t>
                  </w:r>
                  <w:r>
                    <w:t>检测</w:t>
                  </w:r>
                  <w:r>
                    <w:rPr>
                      <w:rFonts w:hint="eastAsia"/>
                    </w:rPr>
                    <w:t>合</w:t>
                  </w:r>
                  <w:r>
                    <w:t>格证明：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夹豆（农残抑制率：7.8%）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红泡椒（农残抑制率5.9%）、红尖椒（农残抑制率9.0%）</w:t>
                  </w:r>
                </w:p>
                <w:p>
                  <w:r>
                    <w:rPr>
                      <w:rFonts w:hint="eastAsia"/>
                    </w:rPr>
                    <w:t>豆平菇</w:t>
                  </w:r>
                  <w:r>
                    <w:t>、</w:t>
                  </w:r>
                  <w:r>
                    <w:rPr>
                      <w:rFonts w:hint="eastAsia"/>
                    </w:rPr>
                    <w:t>香菇</w:t>
                  </w:r>
                  <w:r>
                    <w:t>、</w:t>
                  </w:r>
                  <w:r>
                    <w:rPr>
                      <w:rFonts w:hint="eastAsia"/>
                    </w:rPr>
                    <w:t>玉</w:t>
                  </w:r>
                  <w:r>
                    <w:t>米</w:t>
                  </w:r>
                  <w:r>
                    <w:rPr>
                      <w:rFonts w:hint="eastAsia"/>
                    </w:rPr>
                    <w:t>、</w:t>
                  </w:r>
                  <w:r>
                    <w:t>韭黄</w:t>
                  </w:r>
                  <w:r>
                    <w:rPr>
                      <w:rFonts w:hint="eastAsia"/>
                    </w:rPr>
                    <w:t xml:space="preserve"> 样</w:t>
                  </w:r>
                  <w:r>
                    <w:t>品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0104、130、133、135</w:t>
                  </w:r>
                </w:p>
                <w:p>
                  <w:r>
                    <w:rPr>
                      <w:rFonts w:hint="eastAsia"/>
                    </w:rPr>
                    <w:t>检测</w:t>
                  </w:r>
                  <w:r>
                    <w:t>单位：禾恒蔬菜市场检测室</w:t>
                  </w:r>
                </w:p>
                <w:p>
                  <w:r>
                    <w:rPr>
                      <w:rFonts w:hint="eastAsia"/>
                    </w:rPr>
                    <w:t>项</w:t>
                  </w:r>
                  <w:r>
                    <w:t>目名称：农药</w:t>
                  </w:r>
                  <w:r>
                    <w:rPr>
                      <w:rFonts w:hint="eastAsia"/>
                    </w:rPr>
                    <w:t>残</w:t>
                  </w:r>
                  <w:r>
                    <w:t>留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</w:t>
                  </w:r>
                  <w:r>
                    <w:rPr>
                      <w:rFonts w:hint="eastAsia"/>
                    </w:rPr>
                    <w:t>：</w:t>
                  </w:r>
                  <w:r>
                    <w:t>合格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检验日期：2021-04-13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同时抽取2022年1月2日的袋装红富士苹果，农残抑制率为0，结论同上。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晋江市青阳辉客食品商行（个体户）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预包装食品（粮油、调味品）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92350582MA32CBKD3M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用经营</w:t>
                  </w:r>
                  <w:r>
                    <w:rPr>
                      <w:rFonts w:hint="eastAsia"/>
                    </w:rPr>
                    <w:t>许</w:t>
                  </w:r>
                  <w:r>
                    <w:t>可</w:t>
                  </w:r>
                  <w:r>
                    <w:rPr>
                      <w:rFonts w:hint="eastAsia"/>
                    </w:rPr>
                    <w:t xml:space="preserve">证书》编号：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检</w:t>
                  </w:r>
                  <w:r>
                    <w:t>验报告：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t>产品:</w:t>
                  </w:r>
                  <w:r>
                    <w:rPr>
                      <w:rFonts w:hint="eastAsia"/>
                      <w:lang w:val="en-US" w:eastAsia="zh-CN"/>
                    </w:rPr>
                    <w:t>厨邦金品生抽</w:t>
                  </w:r>
                </w:p>
                <w:p>
                  <w:r>
                    <w:rPr>
                      <w:rFonts w:hint="eastAsia"/>
                    </w:rPr>
                    <w:t>报告编号:A2210086070101002C</w:t>
                  </w:r>
                  <w: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t>日期：20</w:t>
                  </w:r>
                  <w:r>
                    <w:rPr>
                      <w:rFonts w:hint="eastAsia"/>
                      <w:lang w:val="en-US" w:eastAsia="zh-CN"/>
                    </w:rPr>
                    <w:t>21-03-09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  <w:lang w:val="en-US" w:eastAsia="zh-CN"/>
                    </w:rPr>
                    <w:t>华测</w:t>
                  </w:r>
                </w:p>
                <w:p>
                  <w:r>
                    <w:rPr>
                      <w:rFonts w:hint="eastAsia"/>
                    </w:rPr>
                    <w:t>报</w:t>
                  </w:r>
                  <w:r>
                    <w:t>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WT</w:t>
                  </w:r>
                  <w:r>
                    <w:t>10103191077836WT1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铅、总砷、菌落总数、大肠菌群等；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t>项</w:t>
                  </w:r>
                  <w:r>
                    <w:rPr>
                      <w:rFonts w:hint="eastAsia"/>
                    </w:rPr>
                    <w:t>目</w:t>
                  </w:r>
                  <w:r>
                    <w:t>：合格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同时抽取大豆油（报告编号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ZFJC2021S0427048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）、报告日期：2021-05-04，生抽酱油（（酿造酱油）报告编号：F21WT00658）、报告日期：2021-02-22，食用盐、大米（ZQJY-2021-W0600833，日期：2021-07-02）；结论同上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受疫情影响，水产品销量很小，下次审核关注水产品供方管理情况。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 w:fill="FFFFFF"/>
              </w:rPr>
              <w:t>查重要供方的评价记录名称：《供</w:t>
            </w:r>
            <w:r>
              <w:rPr>
                <w:u w:val="single"/>
                <w:shd w:val="pct10" w:color="auto" w:fill="FFFFFF"/>
              </w:rPr>
              <w:t>应</w:t>
            </w:r>
            <w:r>
              <w:rPr>
                <w:rFonts w:hint="eastAsia"/>
                <w:u w:val="single"/>
                <w:shd w:val="pct10" w:color="auto" w:fill="FFFFFF"/>
              </w:rPr>
              <w:t>商</w:t>
            </w:r>
            <w:r>
              <w:rPr>
                <w:u w:val="single"/>
                <w:shd w:val="pct10" w:color="auto" w:fill="FFFFFF"/>
              </w:rPr>
              <w:t>评价表</w:t>
            </w:r>
            <w:r>
              <w:rPr>
                <w:rFonts w:hint="eastAsia"/>
                <w:u w:val="single"/>
                <w:shd w:val="pct10" w:color="auto" w:fill="FFFFFF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福建禾恒蔬菜批发市场有限公司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果蔬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晋江市青阳辉客食品商行（个体户）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预包装食品（粮油、调味品）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</w:rPr>
            </w:pPr>
          </w:p>
        </w:tc>
        <w:tc>
          <w:tcPr>
            <w:tcW w:w="129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dxa"/>
          <w:wAfter w:w="31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dxa"/>
          <w:wAfter w:w="31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dxa"/>
          <w:wAfter w:w="319" w:type="dxa"/>
          <w:trHeight w:val="3833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RP1原辅料验收，主要在合格供方处，或者供方将货品送到办公室，进行验收，预包装类粮油、调味品主要以索取产品的外检报告为主，畜禽肉类每批索取动物检验检验检疫合格证明/肉品品质合格证明文件（猪肉）文件；果蔬类：索取农残检测报告；详见7.1.6条款审核记录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836"/>
              <w:gridCol w:w="1835"/>
              <w:gridCol w:w="1878"/>
              <w:gridCol w:w="1833"/>
              <w:gridCol w:w="14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3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83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18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14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OPRP3</w:t>
                  </w:r>
                </w:p>
              </w:tc>
              <w:tc>
                <w:tcPr>
                  <w:tcW w:w="8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办公室冷冻柜</w:t>
                  </w:r>
                </w:p>
              </w:tc>
              <w:tc>
                <w:tcPr>
                  <w:tcW w:w="183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冷冻温度≤-12℃</w:t>
                  </w: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《温度监测记录表》</w:t>
                  </w:r>
                </w:p>
              </w:tc>
              <w:tc>
                <w:tcPr>
                  <w:tcW w:w="1833" w:type="dxa"/>
                </w:tcPr>
                <w:p>
                  <w:pPr>
                    <w:spacing w:line="240" w:lineRule="exact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手持温度计测试-12.1℃</w:t>
                  </w:r>
                </w:p>
              </w:tc>
              <w:tc>
                <w:tcPr>
                  <w:tcW w:w="14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3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3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43" w:hRule="atLeast"/>
        </w:trPr>
        <w:tc>
          <w:tcPr>
            <w:tcW w:w="2183" w:type="dxa"/>
            <w:gridSpan w:val="3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26" w:type="dxa"/>
            <w:gridSpan w:val="2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271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11"/>
            </w:pPr>
          </w:p>
          <w:p>
            <w:pPr>
              <w:pStyle w:val="11"/>
            </w:pPr>
          </w:p>
          <w:p/>
          <w:p/>
          <w:p/>
          <w:p/>
          <w:p/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1130" w:hRule="atLeast"/>
        </w:trPr>
        <w:tc>
          <w:tcPr>
            <w:tcW w:w="2183" w:type="dxa"/>
            <w:gridSpan w:val="3"/>
            <w:vMerge w:val="continue"/>
          </w:tcPr>
          <w:p/>
        </w:tc>
        <w:tc>
          <w:tcPr>
            <w:tcW w:w="926" w:type="dxa"/>
            <w:gridSpan w:val="2"/>
            <w:vMerge w:val="continue"/>
          </w:tcPr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恒温培养箱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农残快速检测仪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7"/>
              <w:gridCol w:w="2365"/>
              <w:gridCol w:w="1458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65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7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温度计（TP101）</w:t>
                  </w:r>
                </w:p>
              </w:tc>
              <w:tc>
                <w:tcPr>
                  <w:tcW w:w="2365" w:type="dxa"/>
                </w:tcPr>
                <w:p>
                  <w:pPr>
                    <w:jc w:val="left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HKJ210101665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2022-01-07已过期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配送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7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电子台秤（TCS-150电子台秤）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HKJ210101664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2022-01-07已过期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配送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36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6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240"/>
              <w:gridCol w:w="2410"/>
              <w:gridCol w:w="2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2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  <w:p/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134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23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《纠正和预防措施控制程序》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近一年以来</w:t>
                  </w: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《纠正和预防措施控制程序》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1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90" w:hRule="atLeast"/>
        </w:trPr>
        <w:tc>
          <w:tcPr>
            <w:tcW w:w="2183" w:type="dxa"/>
            <w:gridSpan w:val="3"/>
            <w:vMerge w:val="restart"/>
          </w:tcPr>
          <w:p>
            <w:r>
              <w:t>放行的评价</w:t>
            </w:r>
          </w:p>
        </w:tc>
        <w:tc>
          <w:tcPr>
            <w:tcW w:w="926" w:type="dxa"/>
            <w:gridSpan w:val="2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索证、感官检查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27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5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7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供方送货到现场进行验收，随机收取：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1"/>
              <w:gridCol w:w="1389"/>
              <w:gridCol w:w="911"/>
              <w:gridCol w:w="1367"/>
              <w:gridCol w:w="228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2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2022-01-14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大凤爪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感官、数量：实测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感官无异常，新鲜，数量3kg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2022-01-07</w:t>
                  </w:r>
                </w:p>
              </w:tc>
              <w:tc>
                <w:tcPr>
                  <w:tcW w:w="13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  <w:t>老鸭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感官、数量：实测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感官无异常，新鲜，数量4.7kg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2022-01-05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鸡精、老干妈、烟、食用油、文蛤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感官、外包装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感官无异常，外包装完好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2022-01-02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袋装红富士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农残抑制率≤50%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农残抑制率：0%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经沟通了解：主要客户群体为幼儿园，计划推迟到2月下旬开学，目前的销售群体为酒店，受疫情影响，量很小；</w:t>
            </w: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579"/>
              <w:gridCol w:w="16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1"/>
              <w:rPr>
                <w:highlight w:val="yellow"/>
              </w:rPr>
            </w:pPr>
          </w:p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受经营特性影响，客户提前1周下订单，运营部汇总订单安排每日的食材采购，食材客户配送/自提验收合格后，根据客户订单需求进行分配，同时进行感官检查，完毕后进行配送。</w:t>
            </w:r>
          </w:p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在管家婆系统进行管理，随机抽取销售单，已客户接收为主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9"/>
              <w:tblW w:w="90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1590"/>
              <w:gridCol w:w="872"/>
              <w:gridCol w:w="1433"/>
              <w:gridCol w:w="1467"/>
              <w:gridCol w:w="1188"/>
              <w:gridCol w:w="17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8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4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配送车辆</w:t>
                  </w:r>
                </w:p>
              </w:tc>
              <w:tc>
                <w:tcPr>
                  <w:tcW w:w="17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vertAlign w:val="baseline"/>
                      <w:lang w:val="en-US" w:eastAsia="zh-CN" w:bidi="ar-SA"/>
                    </w:rPr>
                    <w:t>2022-01-10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生菜、黄豆芽、玉米、小米椒、文蛤等</w:t>
                  </w:r>
                </w:p>
              </w:tc>
              <w:tc>
                <w:tcPr>
                  <w:tcW w:w="872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4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14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无异常，客户接收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闽C65MQ3</w:t>
                  </w:r>
                </w:p>
              </w:tc>
              <w:tc>
                <w:tcPr>
                  <w:tcW w:w="178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姜虎东白丁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单据编号：XS-2022-02-10-06521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2021-08-30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西红柿、瘦肉、紫洋葱等</w:t>
                  </w:r>
                </w:p>
              </w:tc>
              <w:tc>
                <w:tcPr>
                  <w:tcW w:w="8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4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无异常，客户接收</w:t>
                  </w:r>
                </w:p>
              </w:tc>
              <w:tc>
                <w:tcPr>
                  <w:tcW w:w="11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8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单据编号：XS-2021-08-30-6067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2021-08-31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永春香醋、瘦肉、白萝卜、小米、芹菜等</w:t>
                  </w:r>
                </w:p>
              </w:tc>
              <w:tc>
                <w:tcPr>
                  <w:tcW w:w="8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4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无异常，客户接收</w:t>
                  </w:r>
                </w:p>
              </w:tc>
              <w:tc>
                <w:tcPr>
                  <w:tcW w:w="11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8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单据编号：XS-2021-08-31-6013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8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4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1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7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208"/>
              <w:gridCol w:w="1743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57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7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不涉及，主要以感官检验为主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电子秤温度计检定已过期，见8.7条款审核记录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68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792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 ——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>《     ——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 ——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74"/>
              <w:gridCol w:w="1778"/>
              <w:gridCol w:w="297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74" w:type="dxa"/>
                </w:tcPr>
                <w:p/>
              </w:tc>
              <w:tc>
                <w:tcPr>
                  <w:tcW w:w="1778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93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现场无不合格产品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r>
              <w:t>撤回/召回</w:t>
            </w:r>
          </w:p>
          <w:p/>
        </w:tc>
        <w:tc>
          <w:tcPr>
            <w:tcW w:w="936" w:type="dxa"/>
            <w:gridSpan w:val="4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F</w:t>
            </w:r>
            <w:r>
              <w:rPr>
                <w:rFonts w:hint="eastAsia"/>
                <w:lang w:val="en-US" w:eastAsia="zh-CN"/>
              </w:rPr>
              <w:t>8.9.5</w:t>
            </w:r>
          </w:p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pPr>
              <w:spacing w:line="480" w:lineRule="exact"/>
            </w:pPr>
            <w:r>
              <w:t>如：</w:t>
            </w:r>
            <w:r>
              <w:rPr/>
              <w:sym w:font="Wingdings" w:char="00A8"/>
            </w:r>
            <w:r>
              <w:t>《产品召回控制程序》、</w:t>
            </w:r>
            <w:r>
              <w:rPr/>
              <w:sym w:font="Wingdings" w:char="00FE"/>
            </w:r>
            <w:r>
              <w:t>《产品撤回控制程序》</w:t>
            </w:r>
          </w:p>
        </w:tc>
        <w:tc>
          <w:tcPr>
            <w:tcW w:w="1590" w:type="dxa"/>
            <w:gridSpan w:val="4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1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4"/>
            <w:vMerge w:val="continue"/>
            <w:shd w:val="clear" w:color="auto" w:fill="auto"/>
          </w:tcPr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r>
              <w:t>有权决定撤回/召回人员：</w:t>
            </w:r>
            <w:r>
              <w:rPr>
                <w:u w:val="single"/>
              </w:rPr>
              <w:t xml:space="preserve">庄树群总经理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/>
          <w:p>
            <w:r>
              <w:t>本部门是否发生产品的撤回或召回方面的处置：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1"/>
              <w:gridCol w:w="1308"/>
              <w:gridCol w:w="1334"/>
              <w:gridCol w:w="1458"/>
              <w:gridCol w:w="1200"/>
              <w:gridCol w:w="1142"/>
              <w:gridCol w:w="16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产品批号</w:t>
                  </w:r>
                </w:p>
              </w:tc>
              <w:tc>
                <w:tcPr>
                  <w:tcW w:w="13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不合格简述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生产记录情况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检验记录情况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采购记录情况</w:t>
                  </w:r>
                </w:p>
              </w:tc>
              <w:tc>
                <w:tcPr>
                  <w:tcW w:w="114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产品留样确认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2021-09-21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给客户配送的蔬菜撞坏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2021-09-21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2021-09-21</w:t>
                  </w:r>
                </w:p>
              </w:tc>
              <w:tc>
                <w:tcPr>
                  <w:tcW w:w="114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全部追回</w:t>
                  </w:r>
                  <w:r>
                    <w:rPr>
                      <w:rFonts w:hint="eastAsia"/>
                      <w:sz w:val="18"/>
                      <w:szCs w:val="18"/>
                    </w:rPr>
                    <w:t>，致歉，并按订单要求配送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5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pPr>
              <w:pStyle w:val="2"/>
              <w:rPr>
                <w:rFonts w:ascii="Times New Roman" w:hAnsi="Times New Roman"/>
              </w:rPr>
            </w:pPr>
          </w:p>
          <w:p>
            <w:r>
              <w:t>结论：</w:t>
            </w:r>
            <w:r>
              <w:rPr/>
              <w:sym w:font="Wingdings" w:char="00FE"/>
            </w:r>
            <w: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/>
              <w:sym w:font="Wingdings" w:char="00A8"/>
            </w:r>
            <w:r>
              <w:t>不能够确保完整、 及时地撤回已被识别为潜在不安全的批次/批号产品，说明：</w:t>
            </w:r>
            <w:r>
              <w:rPr>
                <w:u w:val="single"/>
              </w:rPr>
              <w:t xml:space="preserve">         </w:t>
            </w:r>
          </w:p>
          <w:p/>
          <w:p>
            <w:r>
              <w:t>见《产品召回记录》， 并向最高管理者报告， 作为管理评审的输入。</w:t>
            </w:r>
          </w:p>
          <w:p/>
        </w:tc>
        <w:tc>
          <w:tcPr>
            <w:tcW w:w="1590" w:type="dxa"/>
            <w:gridSpan w:val="4"/>
            <w:vMerge w:val="continue"/>
            <w:shd w:val="clear" w:color="auto" w:fill="auto"/>
          </w:tcPr>
          <w:p/>
        </w:tc>
      </w:tr>
    </w:tbl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0</TotalTime>
  <ScaleCrop>false</ScaleCrop>
  <LinksUpToDate>false</LinksUpToDate>
  <CharactersWithSpaces>12771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2022-02-19T12:31:12Z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08AD19879AD74E49BCBD6C843E9D08F3</vt:lpwstr>
  </property>
</Properties>
</file>