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649"/>
        <w:gridCol w:w="369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纽贝恩（江苏）生物科技有限公司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海安市达尔文路255号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海安市达尔文路255号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蒋宁宁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18936164080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125395183@ 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1303-2021-F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位于海安市达尔文路255号纽贝恩（江苏）生物科技有限公司生产车间的固态宠物配合饲料的生产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DII-1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2021年12月25日 上午至2021年12月25日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</w:t>
            </w:r>
            <w:r>
              <w:rPr>
                <w:rFonts w:hint="eastAsia"/>
                <w:sz w:val="21"/>
                <w:szCs w:val="21"/>
                <w:lang w:eastAsia="zh-CN"/>
              </w:rPr>
              <w:t>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2021-N1FSMS-1246137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13818030725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被张静见证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组员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张静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2020-N1FSMS-3011923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DII-1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1"/>
                <w:szCs w:val="21"/>
              </w:rPr>
              <w:t>13501146660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见证陈丽丹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58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2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/>
        </w:tc>
        <w:tc>
          <w:tcPr>
            <w:tcW w:w="1412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陈丽丹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李凤娟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13818030725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2021-12-24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2021-12-24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tbl>
      <w:tblPr>
        <w:tblStyle w:val="6"/>
        <w:tblW w:w="10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1DE" w:themeFill="accent3" w:themeFillTint="3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29"/>
        <w:gridCol w:w="1002"/>
        <w:gridCol w:w="4248"/>
        <w:gridCol w:w="1912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48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912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2" w:type="dxa"/>
            <w:vMerge w:val="restart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2021-12-25</w:t>
            </w: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  <w:t>到达</w:t>
            </w:r>
          </w:p>
        </w:tc>
        <w:tc>
          <w:tcPr>
            <w:tcW w:w="191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8:30-9:00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首次会议</w:t>
            </w:r>
          </w:p>
        </w:tc>
        <w:tc>
          <w:tcPr>
            <w:tcW w:w="191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9:00-1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EBF1DE" w:themeFill="accent3" w:themeFillTint="32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管理层</w:t>
            </w:r>
          </w:p>
        </w:tc>
        <w:tc>
          <w:tcPr>
            <w:tcW w:w="424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内外部环境、相关方需求和期望识别、风险和机遇识别及应对措施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、认证范围、方针和目标，资源管理、领导作用、岗位和职责、目标管理、内外部沟通、持续改进的机制、重大投诉处理、重大体系事故和变更管理、应急准备和响应，顾客反馈、产品召回、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eastAsia="zh-CN"/>
              </w:rPr>
              <w:t>内审、管理评审、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持续改进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行业抽查情况</w:t>
            </w:r>
          </w:p>
        </w:tc>
        <w:tc>
          <w:tcPr>
            <w:tcW w:w="1912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F:4.1-4.4/5.1/5.2/5.3/6.1/6.2/6.3/7.1.1/7.4/7.1.5/9.1.1/9.2/9.3/10.2/10.3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highlight w:val="no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0-12: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食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品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安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全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小组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组长</w:t>
            </w:r>
          </w:p>
        </w:tc>
        <w:tc>
          <w:tcPr>
            <w:tcW w:w="4248" w:type="dxa"/>
            <w:shd w:val="clear" w:color="auto" w:fill="EBF1DE" w:themeFill="accent3" w:themeFillTint="32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食品安全小组及职责、</w:t>
            </w:r>
            <w:r>
              <w:rPr>
                <w:rFonts w:hint="eastAsia"/>
                <w:sz w:val="18"/>
                <w:szCs w:val="18"/>
                <w:lang w:eastAsia="zh-CN"/>
              </w:rPr>
              <w:t>体系策划、</w:t>
            </w:r>
            <w:r>
              <w:rPr>
                <w:sz w:val="18"/>
                <w:szCs w:val="18"/>
              </w:rPr>
              <w:t>前提方案、实施危害分析的预备步骤、危害分析、操作性前提方案(PRPs)的建立、HACCP计划的建立、预备信息的更新、规定前提方案和HACCP计划文件的更新、验证策划、标识和可追溯性系统/计划、控制措施组合的确认、食品安全管理体系的验证及结果分析、产品撤回/召回、应急预案</w:t>
            </w:r>
          </w:p>
        </w:tc>
        <w:tc>
          <w:tcPr>
            <w:tcW w:w="1912" w:type="dxa"/>
            <w:shd w:val="clear" w:color="auto" w:fill="EBF1DE" w:themeFill="accent3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.3/</w:t>
            </w:r>
            <w:r>
              <w:rPr>
                <w:rFonts w:hint="eastAsia"/>
                <w:sz w:val="18"/>
                <w:szCs w:val="18"/>
              </w:rPr>
              <w:t>7.1.5/</w:t>
            </w:r>
            <w:r>
              <w:rPr>
                <w:sz w:val="18"/>
                <w:szCs w:val="18"/>
              </w:rPr>
              <w:t>8.1/8.2/8.3/8.4/8.5/8.6/8.7/8.8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/8.9.5/9.1.2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行政中心</w:t>
            </w: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职责、文件和记录管理；目标管理、内外部沟通、人员健康管理、持证上岗人员、人员招聘、员工培训及有效性评价</w:t>
            </w:r>
            <w:r>
              <w:rPr>
                <w:rFonts w:hint="eastAsia"/>
                <w:sz w:val="18"/>
                <w:szCs w:val="18"/>
                <w:lang w:eastAsia="zh-CN"/>
              </w:rPr>
              <w:t>、不合格和纠正措施</w:t>
            </w:r>
          </w:p>
        </w:tc>
        <w:tc>
          <w:tcPr>
            <w:tcW w:w="1912" w:type="dxa"/>
            <w:shd w:val="clear" w:color="auto" w:fill="EBF1DE" w:themeFill="accent3" w:themeFillTint="32"/>
            <w:vAlign w:val="top"/>
          </w:tcPr>
          <w:p>
            <w:pPr>
              <w:pStyle w:val="14"/>
              <w:spacing w:after="0" w:line="32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F:5.3/6.2/7.1.2/7.2/7.3/7.4/7.5/</w:t>
            </w:r>
            <w:r>
              <w:rPr>
                <w:rFonts w:eastAsia="宋体"/>
                <w:sz w:val="18"/>
                <w:szCs w:val="18"/>
                <w:lang w:val="en-US" w:eastAsia="zh-CN"/>
              </w:rPr>
              <w:t>9.1.2/10.1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12:30-13：00</w:t>
            </w:r>
          </w:p>
        </w:tc>
        <w:tc>
          <w:tcPr>
            <w:tcW w:w="8240" w:type="dxa"/>
            <w:gridSpan w:val="4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FF0000"/>
                <w:sz w:val="18"/>
                <w:szCs w:val="1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jc w:val="left"/>
              <w:rPr>
                <w:rFonts w:hint="default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13:00-15:30</w:t>
            </w:r>
          </w:p>
        </w:tc>
        <w:tc>
          <w:tcPr>
            <w:tcW w:w="100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生产中心</w:t>
            </w:r>
          </w:p>
        </w:tc>
        <w:tc>
          <w:tcPr>
            <w:tcW w:w="4248" w:type="dxa"/>
            <w:shd w:val="clear" w:color="auto" w:fill="EBF1DE" w:themeFill="accent3" w:themeFillTint="32"/>
            <w:vAlign w:val="top"/>
          </w:tcPr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spacing w:val="1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职责、目标管理、</w:t>
            </w:r>
            <w:r>
              <w:rPr>
                <w:sz w:val="18"/>
                <w:szCs w:val="18"/>
              </w:rPr>
              <w:t>基础设施、特种设备管理、工作环境控制、(PRPs)前提方案、操作性前提方案、关键控制点的监视系统、可追溯性系统、潜在不符合品控制、 CCP的监控、纠偏及现场情况、产品的撤回/召回、标识和可追溯性系统/计划</w:t>
            </w:r>
          </w:p>
        </w:tc>
        <w:tc>
          <w:tcPr>
            <w:tcW w:w="1912" w:type="dxa"/>
            <w:shd w:val="clear" w:color="auto" w:fill="EBF1DE" w:themeFill="accent3" w:themeFillTint="3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F:5.3/6.2/7.1.3/7.1.4/8.2/8.3/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8.4/8.5.4/8.9/9.1.2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13:00-1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5：3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default" w:cs="Times New Roman" w:asciiTheme="minorEastAsia" w:hAnsiTheme="minorEastAsia" w:eastAsia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供应链中心</w:t>
            </w: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eastAsia="宋体"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</w:rPr>
              <w:t>职责、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lang w:eastAsia="zh-CN"/>
              </w:rPr>
              <w:t>目标管理、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外部提供的过程、</w:t>
            </w:r>
            <w:r>
              <w:rPr>
                <w:rFonts w:hint="eastAsia" w:cs="Arial" w:asciiTheme="minorEastAsia" w:hAnsiTheme="minorEastAsia" w:eastAsiaTheme="minorEastAsia"/>
                <w:bCs/>
                <w:sz w:val="18"/>
                <w:szCs w:val="18"/>
                <w:highlight w:val="none"/>
                <w:lang w:eastAsia="zh-CN"/>
              </w:rPr>
              <w:t>产品或服务的控制、</w:t>
            </w:r>
            <w:r>
              <w:rPr>
                <w:sz w:val="18"/>
                <w:szCs w:val="18"/>
              </w:rPr>
              <w:t>(PRPs)前提方案</w:t>
            </w:r>
            <w:r>
              <w:rPr>
                <w:rFonts w:hint="eastAsia"/>
                <w:sz w:val="18"/>
                <w:szCs w:val="18"/>
                <w:lang w:eastAsia="zh-CN"/>
              </w:rPr>
              <w:t>（原材料采购及验收）</w:t>
            </w:r>
          </w:p>
        </w:tc>
        <w:tc>
          <w:tcPr>
            <w:tcW w:w="1912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F:5.3/6.2/7.1.6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/8.2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0-1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营销中心</w:t>
            </w:r>
          </w:p>
        </w:tc>
        <w:tc>
          <w:tcPr>
            <w:tcW w:w="4248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职责、目标管理、内外部沟通、</w:t>
            </w:r>
            <w:r>
              <w:rPr>
                <w:sz w:val="18"/>
                <w:szCs w:val="18"/>
                <w:highlight w:val="none"/>
              </w:rPr>
              <w:t>产品的撤回/召回、标识和可追溯性系统/计划</w:t>
            </w:r>
          </w:p>
        </w:tc>
        <w:tc>
          <w:tcPr>
            <w:tcW w:w="1912" w:type="dxa"/>
            <w:shd w:val="clear" w:color="auto" w:fill="EBF1DE" w:themeFill="accent3" w:themeFillTint="32"/>
          </w:tcPr>
          <w:p>
            <w:pPr>
              <w:spacing w:line="30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F:5.3/6.2/7.4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/8.3/8.9.5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default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15:30-16:30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研发中心</w:t>
            </w:r>
          </w:p>
        </w:tc>
        <w:tc>
          <w:tcPr>
            <w:tcW w:w="4248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职责、目标管理、内外部沟通、</w:t>
            </w:r>
            <w:r>
              <w:rPr>
                <w:sz w:val="18"/>
                <w:szCs w:val="18"/>
                <w:highlight w:val="none"/>
              </w:rPr>
              <w:t>实施危害分析的预备步骤、危害分析、操作性前提方案(PRPs)的建立、HACCP计划的建立</w:t>
            </w:r>
          </w:p>
        </w:tc>
        <w:tc>
          <w:tcPr>
            <w:tcW w:w="1912" w:type="dxa"/>
            <w:shd w:val="clear" w:color="auto" w:fill="EBF1DE" w:themeFill="accent3" w:themeFillTint="32"/>
            <w:vAlign w:val="top"/>
          </w:tcPr>
          <w:p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F:5.3/6.2/7.4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/8.5.1/8.5.2/8.5.4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审核组整理资料和管代沟通</w:t>
            </w:r>
          </w:p>
        </w:tc>
        <w:tc>
          <w:tcPr>
            <w:tcW w:w="191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与管理者代表沟通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 w:themeFill="accent3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default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末次会议</w:t>
            </w:r>
          </w:p>
        </w:tc>
        <w:tc>
          <w:tcPr>
            <w:tcW w:w="191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审核发现宣告</w:t>
            </w: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shd w:val="clear" w:color="auto" w:fill="EBF1DE" w:themeFill="accent3" w:themeFillTint="32"/>
          </w:tcPr>
          <w:p>
            <w:pPr>
              <w:snapToGrid w:val="0"/>
              <w:spacing w:line="320" w:lineRule="exact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29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jc w:val="left"/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17：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248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审核结束</w:t>
            </w:r>
          </w:p>
        </w:tc>
        <w:tc>
          <w:tcPr>
            <w:tcW w:w="1912" w:type="dxa"/>
            <w:shd w:val="clear" w:color="auto" w:fill="EBF1DE" w:themeFill="accent3" w:themeFillTint="3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78" w:type="dxa"/>
            <w:tcBorders>
              <w:right w:val="single" w:color="auto" w:sz="8" w:space="0"/>
            </w:tcBorders>
            <w:shd w:val="clear" w:color="auto" w:fill="EBF1DE" w:themeFill="accent3" w:themeFillTint="3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>
      <w:pPr>
        <w:sectPr>
          <w:headerReference r:id="rId3" w:type="default"/>
          <w:pgSz w:w="11906" w:h="16838"/>
          <w:pgMar w:top="720" w:right="720" w:bottom="720" w:left="720" w:header="567" w:footer="567" w:gutter="0"/>
          <w:cols w:space="425" w:num="1"/>
          <w:docGrid w:type="lines" w:linePitch="326" w:charSpace="0"/>
        </w:sect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bookmarkStart w:id="32" w:name="_GoBack"/>
      <w:bookmarkEnd w:id="32"/>
      <w:r>
        <w:rPr>
          <w:rFonts w:hint="eastAsia" w:eastAsia="宋体"/>
          <w:lang w:eastAsia="zh-CN"/>
        </w:rPr>
        <w:drawing>
          <wp:inline distT="0" distB="0" distL="114300" distR="114300">
            <wp:extent cx="6424930" cy="8837295"/>
            <wp:effectExtent l="0" t="0" r="1270" b="1905"/>
            <wp:docPr id="3" name="图片 3" descr="e7fec3ce309e4d79678bda79180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fec3ce309e4d79678bda791807746"/>
                    <pic:cNvPicPr>
                      <a:picLocks noChangeAspect="1"/>
                    </pic:cNvPicPr>
                  </pic:nvPicPr>
                  <pic:blipFill>
                    <a:blip r:embed="rId5"/>
                    <a:srcRect l="2181" t="129" r="1014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98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430B4"/>
    <w:rsid w:val="198649CA"/>
    <w:rsid w:val="1ACB64BB"/>
    <w:rsid w:val="24B25FE8"/>
    <w:rsid w:val="32A8624C"/>
    <w:rsid w:val="4A414ED3"/>
    <w:rsid w:val="4C1C65EE"/>
    <w:rsid w:val="69011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32</TotalTime>
  <ScaleCrop>false</ScaleCrop>
  <LinksUpToDate>false</LinksUpToDate>
  <CharactersWithSpaces>5336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ASUS</cp:lastModifiedBy>
  <dcterms:modified xsi:type="dcterms:W3CDTF">2022-01-04T05:32:40Z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4A092EF8A09D46E3A08BEC42D39EA198</vt:lpwstr>
  </property>
  <property fmtid="{D5CDD505-2E9C-101B-9397-08002B2CF9AE}" pid="3" name="KSOProductBuildVer">
    <vt:lpwstr>2052-11.1.0.10723</vt:lpwstr>
  </property>
</Properties>
</file>