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纽贝恩（江苏）生物科技有限公司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海安市达尔文路255号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海安市达尔文路255号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1303-2021-F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蒋宁宁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18936164080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125395183@ 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蒋宁宁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color w:val="0000FF"/>
                <w:sz w:val="22"/>
                <w:lang w:eastAsia="zh-CN"/>
              </w:rPr>
              <w:t>——不适用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位于海安市达尔文路255号纽贝恩（江苏）生物科技有限公司生产车间的固态宠物配合饲料的生产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DII-1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2021年12月24日 上午至2021年12月24日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2021-N1FSMS-1246137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被张静见证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2020-N1FSMS-3011923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DII-1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见证陈丽丹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9" w:name="总组长Add1"/>
            <w:bookmarkEnd w:id="29"/>
            <w:r>
              <w:rPr>
                <w:rFonts w:hint="eastAsia"/>
                <w:sz w:val="21"/>
                <w:szCs w:val="21"/>
                <w:lang w:eastAsia="zh-CN"/>
              </w:rPr>
              <w:t>陈丽丹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13818030725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2021-12-24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trike w:val="0"/>
                <w:dstrike w:val="0"/>
                <w:szCs w:val="18"/>
                <w:shd w:val="pct10" w:color="auto" w:fill="FFFFFF"/>
              </w:rPr>
              <w:t>FSMS</w:t>
            </w:r>
            <w:r>
              <w:rPr>
                <w:strike/>
                <w:dstrike w:val="0"/>
                <w:szCs w:val="18"/>
                <w:shd w:val="pct10" w:color="auto" w:fill="FFFFFF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trike w:val="0"/>
                <w:dstrike w:val="0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trike/>
                <w:dstrike w:val="0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trike w:val="0"/>
                <w:dstrike w:val="0"/>
                <w:shd w:val="pct10" w:color="auto" w:fill="FFFFFF"/>
              </w:rPr>
              <w:t>FSMS</w:t>
            </w:r>
            <w:r>
              <w:rPr>
                <w:strike/>
                <w:dstrike w:val="0"/>
                <w:shd w:val="pct10" w:color="auto" w:fill="FFFFFF"/>
              </w:rPr>
              <w:t>/HACCP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审核组总结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rFonts w:hint="eastAsia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26" w:charSpace="0"/>
        </w:sect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188710" cy="8255000"/>
            <wp:effectExtent l="0" t="0" r="8890" b="0"/>
            <wp:docPr id="1" name="图片 1" descr="21b1f96c58928876564098c53ecb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b1f96c58928876564098c53ecb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C0C08"/>
    <w:rsid w:val="0AB26890"/>
    <w:rsid w:val="2543771F"/>
    <w:rsid w:val="2F9478EC"/>
    <w:rsid w:val="30407A93"/>
    <w:rsid w:val="6D017C87"/>
    <w:rsid w:val="7D3A6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っpoppy╮</cp:lastModifiedBy>
  <cp:lastPrinted>2019-03-27T03:10:00Z</cp:lastPrinted>
  <dcterms:modified xsi:type="dcterms:W3CDTF">2022-01-14T01:36:40Z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