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重庆荣淇金属制品有限公司</w:t>
      </w:r>
      <w:r>
        <w:rPr>
          <w:rFonts w:hint="eastAsia"/>
          <w:b/>
          <w:sz w:val="36"/>
          <w:szCs w:val="36"/>
          <w:lang w:val="en-US" w:eastAsia="zh-CN"/>
        </w:rPr>
        <w:t>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重庆荣淇金属制品有限公司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2021年12月24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1B001A06"/>
    <w:rsid w:val="2F1439AB"/>
    <w:rsid w:val="306B31D8"/>
    <w:rsid w:val="311B7D55"/>
    <w:rsid w:val="47F62F01"/>
    <w:rsid w:val="539071DB"/>
    <w:rsid w:val="54370292"/>
    <w:rsid w:val="57923DDA"/>
    <w:rsid w:val="5A754802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2021-12-21T03:17:55Z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6A432F07AB2D47C1A1ABB1395159061E</vt:lpwstr>
  </property>
</Properties>
</file>