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11"/>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056"/>
        <w:gridCol w:w="11840"/>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1"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56"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93"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kern w:val="2"/>
                <w:sz w:val="21"/>
                <w:szCs w:val="21"/>
                <w:lang w:val="en-US" w:eastAsia="zh-CN" w:bidi="ar"/>
              </w:rPr>
              <w:t>供销部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叶军华</w:t>
            </w:r>
            <w:bookmarkStart w:id="0" w:name="_GoBack"/>
            <w:bookmarkEnd w:id="0"/>
          </w:p>
        </w:tc>
        <w:tc>
          <w:tcPr>
            <w:tcW w:w="159"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3" w:type="pct"/>
            <w:noWrap w:val="0"/>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张磊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2021.12.24</w:t>
            </w:r>
          </w:p>
        </w:tc>
        <w:tc>
          <w:tcPr>
            <w:tcW w:w="159"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3" w:type="pct"/>
            <w:noWrap w:val="0"/>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审核条款：</w:t>
            </w:r>
          </w:p>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de-DE" w:eastAsia="zh-CN" w:bidi="ar-SA"/>
              </w:rPr>
              <w:t>QMS-2015</w:t>
            </w:r>
          </w:p>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5.3岗位/职责 /权限；6.2质量目标及其实现的策划；7.1.3基础设施；  7.1.4过程运行环境；7.1.5监视和测量资源；8.1运行策划和控制；、8.2产品和服务的要求；8.3产品和服务的设计和开发；8.4外部提供供方的控制；8.5.1生产和服务提供的控制；8.5.2标识和可追溯性；8.5.3顾客或外部供方的财产 ；8.5.4产品防护；8.5.5交付后的活动；8.5.6更改控制；8.6产品和服务放行；8.7不合格输出的控制；9.1.2顾客满意；</w:t>
            </w:r>
          </w:p>
          <w:p>
            <w:pPr>
              <w:snapToGrid w:val="0"/>
              <w:spacing w:line="240" w:lineRule="exact"/>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de-DE" w:eastAsia="zh-CN" w:bidi="ar-SA"/>
              </w:rPr>
              <w:t xml:space="preserve">EMS-2015 </w:t>
            </w:r>
          </w:p>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5.3组织的角色、职责和权限、6.1.2环境因素；6.2目标及其达成的策划；8.1运行策划和控制；8.2应急准备和响应</w:t>
            </w:r>
          </w:p>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de-DE" w:eastAsia="zh-CN" w:bidi="ar-SA"/>
              </w:rPr>
              <w:t>ISO 45001：2018</w:t>
            </w:r>
          </w:p>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5.3组织的角色、职责和权限；6.1.2危险源辨识和职业安全风险评价；6.2目标及其实现的策划；8.1运行策划和控制；8.2应急准备和响应； </w:t>
            </w:r>
          </w:p>
        </w:tc>
        <w:tc>
          <w:tcPr>
            <w:tcW w:w="159"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组织的岗位、职责权限</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Q5.3</w:t>
            </w:r>
          </w:p>
        </w:tc>
        <w:tc>
          <w:tcPr>
            <w:tcW w:w="3993" w:type="pct"/>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销售部负责人：韩流</w:t>
            </w:r>
          </w:p>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主要负责：采购、销售过程的控制；产品要求确定；合同评审；顾客沟通；顾客满意度调查；环境因素危险源的识别与控制、公司目标方案的执行、应急准备和响应等</w:t>
            </w:r>
          </w:p>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负责人对本部门的职责和权限以及工作流程清楚、明确完成本部门的目标指标。能较好回答部门职责，对工作要求明确。</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目标和方案</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QEO6.2</w:t>
            </w:r>
          </w:p>
        </w:tc>
        <w:tc>
          <w:tcPr>
            <w:tcW w:w="3993" w:type="pct"/>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部门目标：</w:t>
            </w:r>
          </w:p>
          <w:tbl>
            <w:tblPr>
              <w:tblStyle w:val="11"/>
              <w:tblpPr w:leftFromText="180" w:rightFromText="180" w:vertAnchor="text" w:horzAnchor="page" w:tblpXSpec="center" w:tblpY="2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5300"/>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3485" w:type="dxa"/>
                  <w:tcBorders>
                    <w:bottom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分目标</w:t>
                  </w:r>
                </w:p>
              </w:tc>
              <w:tc>
                <w:tcPr>
                  <w:tcW w:w="5300" w:type="dxa"/>
                  <w:tcBorders>
                    <w:bottom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考核方法</w:t>
                  </w:r>
                </w:p>
              </w:tc>
              <w:tc>
                <w:tcPr>
                  <w:tcW w:w="2803" w:type="dxa"/>
                  <w:tcBorders>
                    <w:bottom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考核结果21.7-21.9月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顾客满意度≥90%</w:t>
                  </w:r>
                </w:p>
              </w:tc>
              <w:tc>
                <w:tcPr>
                  <w:tcW w:w="53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见《相关方满意测量程序》</w:t>
                  </w:r>
                </w:p>
              </w:tc>
              <w:tc>
                <w:tcPr>
                  <w:tcW w:w="28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采购及时率100%</w:t>
                  </w:r>
                </w:p>
              </w:tc>
              <w:tc>
                <w:tcPr>
                  <w:tcW w:w="53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采购及时数/采购总数×100%</w:t>
                  </w:r>
                </w:p>
              </w:tc>
              <w:tc>
                <w:tcPr>
                  <w:tcW w:w="28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环境安全施加影响覆盖率100%</w:t>
                  </w:r>
                </w:p>
              </w:tc>
              <w:tc>
                <w:tcPr>
                  <w:tcW w:w="53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相关方施加影响数/应施加相关方总数×100%</w:t>
                  </w:r>
                </w:p>
              </w:tc>
              <w:tc>
                <w:tcPr>
                  <w:tcW w:w="28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固废处理率100%</w:t>
                  </w:r>
                </w:p>
              </w:tc>
              <w:tc>
                <w:tcPr>
                  <w:tcW w:w="53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固废及时处理数/固废处理总数×100%</w:t>
                  </w:r>
                </w:p>
              </w:tc>
              <w:tc>
                <w:tcPr>
                  <w:tcW w:w="28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火灾发生0</w:t>
                  </w:r>
                </w:p>
              </w:tc>
              <w:tc>
                <w:tcPr>
                  <w:tcW w:w="53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火灾发生总数</w:t>
                  </w:r>
                </w:p>
              </w:tc>
              <w:tc>
                <w:tcPr>
                  <w:tcW w:w="28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安全事故0</w:t>
                  </w:r>
                </w:p>
              </w:tc>
              <w:tc>
                <w:tcPr>
                  <w:tcW w:w="53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安全事故发生总数</w:t>
                  </w:r>
                </w:p>
              </w:tc>
              <w:tc>
                <w:tcPr>
                  <w:tcW w:w="28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0</w:t>
                  </w:r>
                </w:p>
              </w:tc>
            </w:tr>
          </w:tbl>
          <w:p>
            <w:pPr>
              <w:jc w:val="both"/>
              <w:rPr>
                <w:rFonts w:hint="eastAsia" w:ascii="楷体" w:hAnsi="楷体" w:eastAsia="楷体" w:cs="宋体"/>
                <w:bCs w:val="0"/>
                <w:color w:val="000000"/>
                <w:spacing w:val="0"/>
                <w:kern w:val="2"/>
                <w:sz w:val="24"/>
                <w:szCs w:val="24"/>
                <w:lang w:val="en-US" w:eastAsia="zh-CN" w:bidi="ar-SA"/>
              </w:rPr>
            </w:pP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查目标分解与考核，企业于2021.9.30日已完成考核任务。</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部门分解目标与公司方针一致，可测量，并传达到部门相关人员，必要时适时更新，目前无变化。</w:t>
            </w:r>
          </w:p>
          <w:p>
            <w:pPr>
              <w:pStyle w:val="14"/>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针对以上环境、职业健康安全目标和重要环境因素公司制定了相应的《管理方案》，内容涉及方法措施、执行部门、完成情况等。配备有效的灭火器等消防设施，安全操作隐患检查每月至少1次、现场每天检查操作规范性，防止影响环境的操作等……</w:t>
            </w:r>
          </w:p>
          <w:p>
            <w:pPr>
              <w:pStyle w:val="14"/>
              <w:ind w:firstLine="480" w:firstLineChars="200"/>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提供《职业健康安全目标、指标及管理方案》、《环境目标、指标及管理方案》，完成情况：以上各产品标均已达成。时间表：自管理体系运行以来持续进行，已按管理方案要求实施。</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1" w:type="pct"/>
            <w:noWrap w:val="0"/>
            <w:vAlign w:val="top"/>
          </w:tcPr>
          <w:p>
            <w:pPr>
              <w:spacing w:line="360" w:lineRule="auto"/>
              <w:rPr>
                <w:rFonts w:ascii="楷体" w:hAnsi="楷体" w:eastAsia="楷体"/>
                <w:bCs/>
                <w:szCs w:val="24"/>
              </w:rPr>
            </w:pPr>
            <w:r>
              <w:rPr>
                <w:rFonts w:hint="eastAsia" w:ascii="楷体" w:hAnsi="楷体" w:eastAsia="楷体"/>
                <w:bCs/>
                <w:szCs w:val="24"/>
              </w:rPr>
              <w:t>环境因素</w:t>
            </w:r>
          </w:p>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危险源</w:t>
            </w:r>
          </w:p>
        </w:tc>
        <w:tc>
          <w:tcPr>
            <w:tcW w:w="356" w:type="pct"/>
            <w:noWrap w:val="0"/>
            <w:vAlign w:val="top"/>
          </w:tcPr>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EO6.1.2</w:t>
            </w:r>
          </w:p>
        </w:tc>
        <w:tc>
          <w:tcPr>
            <w:tcW w:w="3993" w:type="pct"/>
            <w:noWrap w:val="0"/>
            <w:vAlign w:val="top"/>
          </w:tcPr>
          <w:p>
            <w:pPr>
              <w:snapToGrid w:val="0"/>
              <w:spacing w:line="40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现场提供了《危险源辨识、风险评价和风险控制策划程序》、《</w:t>
            </w:r>
            <w:r>
              <w:rPr>
                <w:rFonts w:hint="eastAsia" w:hAnsi="宋体"/>
                <w:snapToGrid w:val="0"/>
                <w:kern w:val="0"/>
                <w:sz w:val="21"/>
              </w:rPr>
              <w:t>环境因素识别、评价和控制程序</w:t>
            </w:r>
            <w:r>
              <w:rPr>
                <w:rFonts w:hint="eastAsia" w:ascii="华文楷体" w:hAnsi="华文楷体" w:eastAsia="华文楷体"/>
                <w:sz w:val="24"/>
                <w:szCs w:val="24"/>
              </w:rPr>
              <w:t>》，对环境因素、危险源的识别、评价结果、控制手段等做出了规定。</w:t>
            </w:r>
          </w:p>
          <w:p>
            <w:pPr>
              <w:snapToGrid w:val="0"/>
              <w:spacing w:line="400" w:lineRule="exact"/>
              <w:rPr>
                <w:rFonts w:ascii="华文楷体" w:hAnsi="华文楷体" w:eastAsia="华文楷体"/>
                <w:sz w:val="24"/>
                <w:szCs w:val="24"/>
              </w:rPr>
            </w:pPr>
            <w:r>
              <w:rPr>
                <w:rFonts w:hint="eastAsia" w:ascii="华文楷体" w:hAnsi="华文楷体" w:eastAsia="华文楷体"/>
                <w:sz w:val="24"/>
                <w:szCs w:val="24"/>
                <w:lang w:eastAsia="zh-CN"/>
              </w:rPr>
              <w:t>供销部</w:t>
            </w:r>
            <w:r>
              <w:rPr>
                <w:rFonts w:hint="eastAsia" w:ascii="华文楷体" w:hAnsi="华文楷体" w:eastAsia="华文楷体"/>
                <w:sz w:val="24"/>
                <w:szCs w:val="24"/>
              </w:rPr>
              <w:t>负责本部门的环境因素、危险源的识别、评价和控制。</w:t>
            </w:r>
          </w:p>
          <w:p>
            <w:pPr>
              <w:spacing w:line="400" w:lineRule="exact"/>
              <w:rPr>
                <w:rFonts w:ascii="华文楷体" w:hAnsi="华文楷体" w:eastAsia="华文楷体" w:cs="宋体"/>
                <w:sz w:val="24"/>
                <w:szCs w:val="24"/>
              </w:rPr>
            </w:pPr>
            <w:r>
              <w:rPr>
                <w:rFonts w:hint="eastAsia" w:ascii="华文楷体" w:hAnsi="华文楷体" w:eastAsia="华文楷体" w:cs="宋体"/>
                <w:sz w:val="24"/>
                <w:szCs w:val="24"/>
              </w:rPr>
              <w:t>　　部门负责人介绍了对环境因素、危险源进行了辨识，考虑了三种时态，过去、现在和将来，三种状态，正常、异常和紧急，按照办公过程及检验工作过程等进行了辨识</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查《环境因素</w:t>
            </w:r>
            <w:r>
              <w:rPr>
                <w:rFonts w:hint="eastAsia" w:ascii="华文楷体" w:hAnsi="华文楷体" w:eastAsia="华文楷体" w:cs="宋体"/>
                <w:sz w:val="24"/>
                <w:szCs w:val="24"/>
                <w:lang w:val="en-US" w:eastAsia="zh-CN"/>
              </w:rPr>
              <w:t>调查</w:t>
            </w:r>
            <w:r>
              <w:rPr>
                <w:rFonts w:hint="eastAsia" w:ascii="华文楷体" w:hAnsi="华文楷体" w:eastAsia="华文楷体" w:cs="宋体"/>
                <w:sz w:val="24"/>
                <w:szCs w:val="24"/>
              </w:rPr>
              <w:t>评价表》，对本部门办公等有关过程的环境因素。分别识别了日常办公过程中的固废（废电池、灯管、墨盒、</w:t>
            </w:r>
            <w:r>
              <w:rPr>
                <w:rFonts w:hint="eastAsia" w:ascii="华文楷体" w:hAnsi="华文楷体" w:eastAsia="华文楷体" w:cs="宋体"/>
                <w:sz w:val="24"/>
                <w:szCs w:val="24"/>
                <w:lang w:val="en-US" w:eastAsia="zh-CN"/>
              </w:rPr>
              <w:t>实验产生的废弃原物料</w:t>
            </w:r>
            <w:r>
              <w:rPr>
                <w:rFonts w:hint="eastAsia" w:ascii="华文楷体" w:hAnsi="华文楷体" w:eastAsia="华文楷体" w:cs="宋体"/>
                <w:sz w:val="24"/>
                <w:szCs w:val="24"/>
              </w:rPr>
              <w:t>）造成的</w:t>
            </w:r>
            <w:r>
              <w:rPr>
                <w:rFonts w:hint="eastAsia" w:ascii="华文楷体" w:hAnsi="华文楷体" w:eastAsia="华文楷体" w:cs="宋体"/>
                <w:sz w:val="24"/>
                <w:szCs w:val="24"/>
                <w:lang w:val="en-US" w:eastAsia="zh-CN"/>
              </w:rPr>
              <w:t>固体</w:t>
            </w:r>
            <w:r>
              <w:rPr>
                <w:rFonts w:hint="eastAsia" w:ascii="华文楷体" w:hAnsi="华文楷体" w:eastAsia="华文楷体" w:cs="宋体"/>
                <w:sz w:val="24"/>
                <w:szCs w:val="24"/>
              </w:rPr>
              <w:t>污染、水资源利用（拖地、厕所用水）的水资源消耗、照明、空调、办公设施等电能消耗、意外火灾引起的污染大气、污染地面、资源消耗等环境因素。</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查到：《重要环境因素清单》，</w:t>
            </w:r>
            <w:r>
              <w:rPr>
                <w:rFonts w:hint="eastAsia" w:ascii="华文楷体" w:hAnsi="华文楷体" w:eastAsia="华文楷体" w:cs="宋体"/>
                <w:sz w:val="24"/>
                <w:szCs w:val="24"/>
                <w:lang w:eastAsia="zh-CN"/>
              </w:rPr>
              <w:t>供销部</w:t>
            </w:r>
            <w:r>
              <w:rPr>
                <w:rFonts w:hint="eastAsia" w:ascii="华文楷体" w:hAnsi="华文楷体" w:eastAsia="华文楷体" w:cs="宋体"/>
                <w:sz w:val="24"/>
                <w:szCs w:val="24"/>
              </w:rPr>
              <w:t>涉及重要环境因素：固体废弃物、火灾事故的发生</w:t>
            </w:r>
            <w:r>
              <w:rPr>
                <w:rFonts w:hint="eastAsia" w:ascii="华文楷体" w:hAnsi="华文楷体" w:eastAsia="华文楷体" w:cs="宋体"/>
                <w:sz w:val="24"/>
                <w:szCs w:val="24"/>
                <w:lang w:eastAsia="zh-CN"/>
              </w:rPr>
              <w:t>、</w:t>
            </w:r>
            <w:r>
              <w:rPr>
                <w:rFonts w:hint="eastAsia" w:ascii="华文楷体" w:hAnsi="华文楷体" w:eastAsia="华文楷体" w:cs="宋体"/>
                <w:sz w:val="24"/>
                <w:szCs w:val="24"/>
                <w:lang w:val="en-US" w:eastAsia="zh-CN"/>
              </w:rPr>
              <w:t>资源消耗</w:t>
            </w:r>
            <w:r>
              <w:rPr>
                <w:rFonts w:hint="eastAsia" w:ascii="华文楷体" w:hAnsi="华文楷体" w:eastAsia="华文楷体" w:cs="宋体"/>
                <w:sz w:val="24"/>
                <w:szCs w:val="24"/>
              </w:rPr>
              <w:t>。</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查《危险源辨识及风险评价表》，</w:t>
            </w:r>
            <w:r>
              <w:rPr>
                <w:rFonts w:hint="eastAsia" w:ascii="华文楷体" w:hAnsi="华文楷体" w:eastAsia="华文楷体" w:cs="宋体"/>
                <w:sz w:val="24"/>
                <w:szCs w:val="24"/>
                <w:lang w:eastAsia="zh-TW"/>
              </w:rPr>
              <w:t>部门：</w:t>
            </w:r>
            <w:r>
              <w:rPr>
                <w:rFonts w:hint="eastAsia" w:ascii="华文楷体" w:hAnsi="华文楷体" w:eastAsia="华文楷体" w:cs="宋体"/>
                <w:sz w:val="24"/>
                <w:szCs w:val="24"/>
                <w:lang w:val="en-US" w:eastAsia="zh-CN"/>
              </w:rPr>
              <w:t>销售部</w:t>
            </w:r>
            <w:r>
              <w:rPr>
                <w:rFonts w:hint="eastAsia" w:ascii="华文楷体" w:hAnsi="华文楷体" w:eastAsia="华文楷体" w:cs="宋体"/>
                <w:sz w:val="24"/>
                <w:szCs w:val="24"/>
                <w:lang w:eastAsia="zh-TW"/>
              </w:rPr>
              <w:t>，识别了办公过程中</w:t>
            </w:r>
            <w:r>
              <w:rPr>
                <w:rFonts w:hint="eastAsia" w:ascii="华文楷体" w:hAnsi="华文楷体" w:eastAsia="华文楷体" w:cs="宋体"/>
                <w:sz w:val="24"/>
                <w:szCs w:val="24"/>
              </w:rPr>
              <w:t>垃圾不理不及时</w:t>
            </w:r>
            <w:r>
              <w:rPr>
                <w:rFonts w:hint="eastAsia" w:ascii="华文楷体" w:hAnsi="华文楷体" w:eastAsia="华文楷体" w:cs="宋体"/>
                <w:sz w:val="24"/>
                <w:szCs w:val="24"/>
                <w:lang w:eastAsia="zh-TW"/>
              </w:rPr>
              <w:t>可能导致的</w:t>
            </w:r>
            <w:r>
              <w:rPr>
                <w:rFonts w:hint="eastAsia" w:ascii="华文楷体" w:hAnsi="华文楷体" w:eastAsia="华文楷体" w:cs="宋体"/>
                <w:sz w:val="24"/>
                <w:szCs w:val="24"/>
                <w:lang w:val="en-US" w:eastAsia="zh-CN"/>
              </w:rPr>
              <w:t>环境污染</w:t>
            </w:r>
            <w:r>
              <w:rPr>
                <w:rFonts w:hint="eastAsia" w:ascii="华文楷体" w:hAnsi="华文楷体" w:eastAsia="华文楷体" w:cs="宋体"/>
                <w:sz w:val="24"/>
                <w:szCs w:val="24"/>
                <w:lang w:eastAsia="zh-TW"/>
              </w:rPr>
              <w:t>、</w:t>
            </w:r>
            <w:r>
              <w:rPr>
                <w:rFonts w:hint="eastAsia" w:ascii="华文楷体" w:hAnsi="华文楷体" w:eastAsia="华文楷体" w:cs="宋体"/>
                <w:sz w:val="24"/>
                <w:szCs w:val="24"/>
              </w:rPr>
              <w:t>人离开未断电源</w:t>
            </w:r>
            <w:r>
              <w:rPr>
                <w:rFonts w:hint="eastAsia" w:ascii="华文楷体" w:hAnsi="华文楷体" w:eastAsia="华文楷体" w:cs="宋体"/>
                <w:sz w:val="24"/>
                <w:szCs w:val="24"/>
                <w:lang w:eastAsia="zh-TW"/>
              </w:rPr>
              <w:t>可能导致的的火灾、</w:t>
            </w:r>
            <w:r>
              <w:rPr>
                <w:rFonts w:hint="eastAsia" w:ascii="华文楷体" w:hAnsi="华文楷体" w:eastAsia="华文楷体" w:cs="宋体"/>
                <w:sz w:val="24"/>
                <w:szCs w:val="24"/>
              </w:rPr>
              <w:t>违规</w:t>
            </w:r>
            <w:r>
              <w:rPr>
                <w:rFonts w:hint="eastAsia" w:ascii="华文楷体" w:hAnsi="华文楷体" w:eastAsia="华文楷体" w:cs="宋体"/>
                <w:sz w:val="24"/>
                <w:szCs w:val="24"/>
                <w:lang w:val="en-US" w:eastAsia="zh-CN"/>
              </w:rPr>
              <w:t>行驶</w:t>
            </w:r>
            <w:r>
              <w:rPr>
                <w:rFonts w:hint="eastAsia" w:ascii="华文楷体" w:hAnsi="华文楷体" w:eastAsia="华文楷体" w:cs="宋体"/>
                <w:sz w:val="24"/>
                <w:szCs w:val="24"/>
                <w:lang w:eastAsia="zh-TW"/>
              </w:rPr>
              <w:t>可能导致的</w:t>
            </w:r>
            <w:r>
              <w:rPr>
                <w:rFonts w:hint="eastAsia" w:ascii="华文楷体" w:hAnsi="华文楷体" w:eastAsia="华文楷体" w:cs="宋体"/>
                <w:sz w:val="24"/>
                <w:szCs w:val="24"/>
                <w:lang w:val="en-US" w:eastAsia="zh-CN"/>
              </w:rPr>
              <w:t>交通事故</w:t>
            </w:r>
            <w:r>
              <w:rPr>
                <w:rFonts w:hint="eastAsia" w:ascii="华文楷体" w:hAnsi="华文楷体" w:eastAsia="华文楷体" w:cs="宋体"/>
                <w:sz w:val="24"/>
                <w:szCs w:val="24"/>
                <w:lang w:eastAsia="zh-TW"/>
              </w:rPr>
              <w:t>等危险源</w:t>
            </w:r>
            <w:r>
              <w:rPr>
                <w:rFonts w:hint="eastAsia" w:ascii="华文楷体" w:hAnsi="华文楷体" w:eastAsia="华文楷体" w:cs="宋体"/>
                <w:sz w:val="24"/>
                <w:szCs w:val="24"/>
                <w:lang w:val="en-US" w:eastAsia="zh-CN"/>
              </w:rPr>
              <w:t>等</w:t>
            </w:r>
            <w:r>
              <w:rPr>
                <w:rFonts w:hint="eastAsia" w:ascii="华文楷体" w:hAnsi="华文楷体" w:eastAsia="华文楷体" w:cs="宋体"/>
                <w:sz w:val="24"/>
                <w:szCs w:val="24"/>
              </w:rPr>
              <w:t>。</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查到：《</w:t>
            </w:r>
            <w:r>
              <w:rPr>
                <w:rFonts w:hint="eastAsia" w:ascii="华文楷体" w:hAnsi="华文楷体" w:eastAsia="华文楷体" w:cs="宋体"/>
                <w:sz w:val="24"/>
                <w:szCs w:val="24"/>
                <w:lang w:eastAsia="zh-CN"/>
              </w:rPr>
              <w:t>重 要 风 险 危 险 源 清 单</w:t>
            </w:r>
            <w:r>
              <w:rPr>
                <w:rFonts w:hint="eastAsia" w:ascii="华文楷体" w:hAnsi="华文楷体" w:eastAsia="华文楷体" w:cs="宋体"/>
                <w:sz w:val="24"/>
                <w:szCs w:val="24"/>
              </w:rPr>
              <w:t>》，</w:t>
            </w:r>
            <w:r>
              <w:rPr>
                <w:rFonts w:hint="eastAsia" w:ascii="华文楷体" w:hAnsi="华文楷体" w:eastAsia="华文楷体" w:cs="宋体"/>
                <w:sz w:val="24"/>
                <w:szCs w:val="24"/>
                <w:lang w:eastAsia="zh-CN"/>
              </w:rPr>
              <w:t>供销部</w:t>
            </w:r>
            <w:r>
              <w:rPr>
                <w:rFonts w:hint="eastAsia" w:ascii="华文楷体" w:hAnsi="华文楷体" w:eastAsia="华文楷体" w:cs="宋体"/>
                <w:sz w:val="24"/>
                <w:szCs w:val="24"/>
                <w:lang w:eastAsia="zh-TW"/>
              </w:rPr>
              <w:t>涉及的不可接受风险：触电</w:t>
            </w:r>
            <w:r>
              <w:rPr>
                <w:rFonts w:hint="eastAsia" w:ascii="华文楷体" w:hAnsi="华文楷体" w:eastAsia="华文楷体" w:cs="宋体"/>
                <w:sz w:val="24"/>
                <w:szCs w:val="24"/>
              </w:rPr>
              <w:t>、</w:t>
            </w:r>
            <w:r>
              <w:rPr>
                <w:rFonts w:hint="eastAsia" w:ascii="华文楷体" w:hAnsi="华文楷体" w:eastAsia="华文楷体" w:cs="宋体"/>
                <w:sz w:val="24"/>
                <w:szCs w:val="24"/>
                <w:lang w:eastAsia="zh-TW"/>
              </w:rPr>
              <w:t>火灾</w:t>
            </w:r>
            <w:r>
              <w:rPr>
                <w:rFonts w:hint="eastAsia" w:ascii="华文楷体" w:hAnsi="华文楷体" w:eastAsia="华文楷体" w:cs="宋体"/>
                <w:sz w:val="24"/>
                <w:szCs w:val="24"/>
                <w:lang w:eastAsia="zh-CN"/>
              </w:rPr>
              <w:t>、</w:t>
            </w:r>
            <w:r>
              <w:rPr>
                <w:rFonts w:hint="eastAsia" w:ascii="华文楷体" w:hAnsi="华文楷体" w:eastAsia="华文楷体" w:cs="宋体"/>
                <w:sz w:val="24"/>
                <w:szCs w:val="24"/>
                <w:lang w:val="en-US" w:eastAsia="zh-CN"/>
              </w:rPr>
              <w:t>交通事故、疫情感染</w:t>
            </w:r>
            <w:r>
              <w:rPr>
                <w:rFonts w:hint="eastAsia" w:ascii="华文楷体" w:hAnsi="华文楷体" w:eastAsia="华文楷体" w:cs="宋体"/>
                <w:sz w:val="24"/>
                <w:szCs w:val="24"/>
                <w:lang w:eastAsia="zh-TW"/>
              </w:rPr>
              <w:t>。</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lang w:eastAsia="zh-TW"/>
              </w:rPr>
              <w:t>对于</w:t>
            </w:r>
            <w:r>
              <w:rPr>
                <w:rFonts w:hint="eastAsia" w:ascii="华文楷体" w:hAnsi="华文楷体" w:eastAsia="华文楷体" w:cs="宋体"/>
                <w:sz w:val="24"/>
                <w:szCs w:val="24"/>
              </w:rPr>
              <w:t>环境因素、重要环境因素及危险源、不可接受风险等通过运行控制、管理方案、应急准备与响应进行控制。</w:t>
            </w:r>
          </w:p>
          <w:p>
            <w:pPr>
              <w:spacing w:line="400" w:lineRule="exact"/>
              <w:ind w:firstLine="480" w:firstLineChars="200"/>
              <w:rPr>
                <w:rFonts w:hint="eastAsia" w:ascii="楷体" w:hAnsi="楷体" w:eastAsia="楷体" w:cs="Times New Roman"/>
                <w:sz w:val="24"/>
                <w:szCs w:val="24"/>
              </w:rPr>
            </w:pPr>
            <w:r>
              <w:rPr>
                <w:rFonts w:hint="eastAsia" w:ascii="华文楷体" w:hAnsi="华文楷体" w:eastAsia="华文楷体" w:cs="宋体"/>
                <w:sz w:val="24"/>
                <w:szCs w:val="24"/>
                <w:lang w:val="en-US" w:eastAsia="zh-CN"/>
              </w:rPr>
              <w:t>销售部</w:t>
            </w:r>
            <w:r>
              <w:rPr>
                <w:rFonts w:hint="eastAsia" w:ascii="华文楷体" w:hAnsi="华文楷体" w:eastAsia="华文楷体" w:cs="宋体"/>
                <w:sz w:val="24"/>
                <w:szCs w:val="24"/>
              </w:rPr>
              <w:t>环境因素、危险的识别、评价基本符合标准要求。</w:t>
            </w:r>
          </w:p>
        </w:tc>
        <w:tc>
          <w:tcPr>
            <w:tcW w:w="159" w:type="pct"/>
            <w:noWrap w:val="0"/>
            <w:vAlign w:val="top"/>
          </w:tcPr>
          <w:p>
            <w:pPr>
              <w:jc w:val="cente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91" w:type="pct"/>
            <w:noWrap w:val="0"/>
            <w:vAlign w:val="center"/>
          </w:tcPr>
          <w:p>
            <w:pPr>
              <w:pStyle w:val="14"/>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顾客沟通</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8.2.1</w:t>
            </w:r>
          </w:p>
        </w:tc>
        <w:tc>
          <w:tcPr>
            <w:tcW w:w="3993"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目前未发生顾客投诉。</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91" w:type="pct"/>
            <w:noWrap w:val="0"/>
            <w:vAlign w:val="center"/>
          </w:tcPr>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与产品和服务要求的确定</w:t>
            </w:r>
          </w:p>
        </w:tc>
        <w:tc>
          <w:tcPr>
            <w:tcW w:w="356" w:type="pct"/>
            <w:noWrap w:val="0"/>
            <w:vAlign w:val="center"/>
          </w:tcPr>
          <w:p>
            <w:pPr>
              <w:tabs>
                <w:tab w:val="left" w:pos="341"/>
              </w:tabs>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w:t>
            </w:r>
            <w:r>
              <w:rPr>
                <w:rFonts w:hint="eastAsia" w:ascii="楷体" w:hAnsi="楷体" w:eastAsia="楷体" w:cs="宋体"/>
                <w:bCs w:val="0"/>
                <w:color w:val="000000"/>
                <w:spacing w:val="0"/>
                <w:kern w:val="2"/>
                <w:sz w:val="24"/>
                <w:szCs w:val="24"/>
                <w:lang w:val="en-US" w:eastAsia="zh-CN" w:bidi="ar-SA"/>
              </w:rPr>
              <w:tab/>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8.2.2</w:t>
            </w:r>
          </w:p>
        </w:tc>
        <w:tc>
          <w:tcPr>
            <w:tcW w:w="3993"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主要涉及：</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Q：窗帘设计、制作、销售；家居软装设计</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主要依据客户要求、合同法、国家法律法规、环境保护法、环境质量标准等要求进行服务，与产品有关的要求主要体现在与顾客所签定的合同/协议中。</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另外，该公司确定并收集了产品质量法、合同法、地方环保条例等相关法律法规，将其中的相关要求作为与产品有关要求的补充。</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该公司目前在服务提供过程中没有附加要求。</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91" w:type="pct"/>
            <w:noWrap w:val="0"/>
            <w:vAlign w:val="center"/>
          </w:tcPr>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产品和服务要求的评审</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Q8.2.3</w:t>
            </w:r>
          </w:p>
        </w:tc>
        <w:tc>
          <w:tcPr>
            <w:tcW w:w="3993" w:type="pct"/>
            <w:noWrap w:val="0"/>
            <w:vAlign w:val="center"/>
          </w:tcPr>
          <w:p>
            <w:pPr>
              <w:spacing w:line="36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1）公司首先在合同中明确了顾客对技术服务的质量要求及技术标准、价格、交货方式、验收方式、货款结算方式等明示要求。</w:t>
            </w:r>
          </w:p>
          <w:p>
            <w:pPr>
              <w:spacing w:line="36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2）确定了技术服务的法律法规要求（技术服务标准等要求）、售后服务等。</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3）该公司与产品有关要求主要在合同中体现，在合同签订之前，由总经理组织各相关部门以会议或会签的方式进行评审。</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抽查销售合同情况</w:t>
            </w:r>
          </w:p>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抽1：客户：首旅如家酒店集团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产品名称：窗帘、软装及配件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合同有效期：2021年3月1日—2022年2月28日。</w:t>
            </w:r>
          </w:p>
          <w:p>
            <w:pPr>
              <w:spacing w:line="360" w:lineRule="exact"/>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抽2：客户：上海典乾装饰工程有限公司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产品名称：窗帘的设计、制作；</w:t>
            </w:r>
          </w:p>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工期约定：2021 年4月21日可交货。</w:t>
            </w:r>
          </w:p>
          <w:p>
            <w:pPr>
              <w:tabs>
                <w:tab w:val="left" w:pos="1679"/>
              </w:tabs>
              <w:rPr>
                <w:rFonts w:hint="eastAsia" w:ascii="楷体" w:hAnsi="楷体" w:eastAsia="楷体" w:cs="宋体"/>
                <w:bCs w:val="0"/>
                <w:color w:val="000000"/>
                <w:spacing w:val="0"/>
                <w:kern w:val="2"/>
                <w:sz w:val="24"/>
                <w:szCs w:val="24"/>
                <w:lang w:val="en-US" w:eastAsia="zh-CN" w:bidi="ar-SA"/>
              </w:rPr>
            </w:pPr>
          </w:p>
          <w:p>
            <w:pPr>
              <w:spacing w:line="360" w:lineRule="exact"/>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抽3：客户：深圳蛇口太子湾店，时间：2021年12月3日</w:t>
            </w:r>
          </w:p>
          <w:p>
            <w:pPr>
              <w:spacing w:line="36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产品名称：窗帘</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工期约定：自订单发送后20日内完成。</w:t>
            </w:r>
            <w:r>
              <w:rPr>
                <w:rFonts w:hint="eastAsia" w:ascii="楷体" w:hAnsi="楷体" w:eastAsia="楷体" w:cs="宋体"/>
                <w:bCs w:val="0"/>
                <w:color w:val="000000"/>
                <w:spacing w:val="0"/>
                <w:kern w:val="2"/>
                <w:sz w:val="24"/>
                <w:szCs w:val="24"/>
                <w:lang w:val="en-US" w:eastAsia="zh-CN" w:bidi="ar-SA"/>
              </w:rPr>
              <w:tab/>
            </w:r>
          </w:p>
          <w:p>
            <w:pPr>
              <w:spacing w:line="36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以上合同均规定了技术服务内容、双方的权利义务、服务交付方式等内容、交付期等内容，</w:t>
            </w:r>
          </w:p>
          <w:p>
            <w:pPr>
              <w:spacing w:line="36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顾客要求明确 。均有双方法人签字和加盖的公章</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见以上《合同评审登记表》，评审内容包括  对服务交付方式、交付能力、质量要求等进行了评审，认为可以满足。有总经理签字,同意签订合同。</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产品和服务要求的变更</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Q8.2.4</w:t>
            </w:r>
          </w:p>
        </w:tc>
        <w:tc>
          <w:tcPr>
            <w:tcW w:w="3993"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经询问，未发生合同变更及顾客要求发生变更造成与先前合同或订单要求表述存在差异的情况。</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noWrap w:val="0"/>
            <w:vAlign w:val="center"/>
          </w:tcPr>
          <w:p>
            <w:pPr>
              <w:pStyle w:val="14"/>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外部提供产品、服务和过程控制</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Q8.4</w:t>
            </w:r>
          </w:p>
          <w:p>
            <w:pPr>
              <w:pStyle w:val="14"/>
              <w:rPr>
                <w:rFonts w:hint="eastAsia" w:ascii="楷体" w:hAnsi="楷体" w:eastAsia="楷体" w:cs="宋体"/>
                <w:bCs w:val="0"/>
                <w:color w:val="000000"/>
                <w:spacing w:val="0"/>
                <w:kern w:val="2"/>
                <w:sz w:val="24"/>
                <w:szCs w:val="24"/>
                <w:lang w:val="en-US" w:eastAsia="zh-CN" w:bidi="ar-SA"/>
              </w:rPr>
            </w:pPr>
          </w:p>
        </w:tc>
        <w:tc>
          <w:tcPr>
            <w:tcW w:w="3993" w:type="pct"/>
            <w:noWrap w:val="0"/>
            <w:vAlign w:val="center"/>
          </w:tcPr>
          <w:p>
            <w:pPr>
              <w:jc w:val="both"/>
              <w:rPr>
                <w:rFonts w:hint="eastAsia"/>
              </w:rPr>
            </w:pPr>
            <w:r>
              <w:rPr>
                <w:rFonts w:hint="eastAsia"/>
              </w:rPr>
              <w:t>●</w:t>
            </w:r>
            <w:r>
              <w:rPr>
                <w:rFonts w:hint="eastAsia" w:ascii="楷体" w:hAnsi="楷体" w:eastAsia="楷体" w:cs="宋体"/>
                <w:bCs w:val="0"/>
                <w:color w:val="000000"/>
                <w:spacing w:val="0"/>
                <w:kern w:val="2"/>
                <w:sz w:val="24"/>
                <w:szCs w:val="24"/>
                <w:lang w:val="en-US" w:eastAsia="zh-CN" w:bidi="ar-SA"/>
              </w:rPr>
              <w:t>编制了《采购控制程序》，明确了根据销售订单，编制《采购计划》。对采购计划中重要物资进行定期合格供方评价，内容包括：产品质量、交货期、价格及售后服务等内容。经由总经理确认后，纳入公司合格供方。</w:t>
            </w:r>
          </w:p>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rPr>
              <w:t>●</w:t>
            </w:r>
            <w:r>
              <w:rPr>
                <w:rFonts w:hint="eastAsia" w:ascii="楷体" w:hAnsi="楷体" w:eastAsia="楷体" w:cs="宋体"/>
                <w:bCs w:val="0"/>
                <w:color w:val="000000"/>
                <w:spacing w:val="0"/>
                <w:kern w:val="2"/>
                <w:sz w:val="24"/>
                <w:szCs w:val="24"/>
                <w:lang w:val="en-US" w:eastAsia="zh-CN" w:bidi="ar-SA"/>
              </w:rPr>
              <w:t>现场提供有《合格供方目录》，由总经理陆帅批准。</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合格供方名称                                    供应产品名称</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安溪县凤城麒麟家居饰品商行</w:t>
            </w:r>
            <w:r>
              <w:rPr>
                <w:rFonts w:hint="eastAsia" w:ascii="楷体" w:hAnsi="楷体" w:eastAsia="楷体" w:cs="宋体"/>
                <w:bCs w:val="0"/>
                <w:color w:val="000000"/>
                <w:spacing w:val="0"/>
                <w:kern w:val="2"/>
                <w:sz w:val="24"/>
                <w:szCs w:val="24"/>
                <w:lang w:val="en-US" w:eastAsia="zh-CN" w:bidi="ar-SA"/>
              </w:rPr>
              <w:tab/>
            </w:r>
            <w:r>
              <w:rPr>
                <w:rFonts w:hint="eastAsia" w:ascii="楷体" w:hAnsi="楷体" w:eastAsia="楷体" w:cs="宋体"/>
                <w:bCs w:val="0"/>
                <w:color w:val="000000"/>
                <w:spacing w:val="0"/>
                <w:kern w:val="2"/>
                <w:sz w:val="24"/>
                <w:szCs w:val="24"/>
                <w:lang w:val="en-US" w:eastAsia="zh-CN" w:bidi="ar-SA"/>
              </w:rPr>
              <w:t xml:space="preserve">                    家居用品</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东莞市匠心画业有限公司</w:t>
            </w:r>
            <w:r>
              <w:rPr>
                <w:rFonts w:hint="eastAsia" w:ascii="楷体" w:hAnsi="楷体" w:eastAsia="楷体" w:cs="宋体"/>
                <w:bCs w:val="0"/>
                <w:color w:val="000000"/>
                <w:spacing w:val="0"/>
                <w:kern w:val="2"/>
                <w:sz w:val="24"/>
                <w:szCs w:val="24"/>
                <w:lang w:val="en-US" w:eastAsia="zh-CN" w:bidi="ar-SA"/>
              </w:rPr>
              <w:tab/>
            </w:r>
            <w:r>
              <w:rPr>
                <w:rFonts w:hint="eastAsia" w:ascii="楷体" w:hAnsi="楷体" w:eastAsia="楷体" w:cs="宋体"/>
                <w:bCs w:val="0"/>
                <w:color w:val="000000"/>
                <w:spacing w:val="0"/>
                <w:kern w:val="2"/>
                <w:sz w:val="24"/>
                <w:szCs w:val="24"/>
                <w:lang w:val="en-US" w:eastAsia="zh-CN" w:bidi="ar-SA"/>
              </w:rPr>
              <w:t xml:space="preserve">                        家居画</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东莞市艺千源家居饰品有限公司</w:t>
            </w:r>
            <w:r>
              <w:rPr>
                <w:rFonts w:hint="eastAsia" w:ascii="楷体" w:hAnsi="楷体" w:eastAsia="楷体" w:cs="宋体"/>
                <w:bCs w:val="0"/>
                <w:color w:val="000000"/>
                <w:spacing w:val="0"/>
                <w:kern w:val="2"/>
                <w:sz w:val="24"/>
                <w:szCs w:val="24"/>
                <w:lang w:val="en-US" w:eastAsia="zh-CN" w:bidi="ar-SA"/>
              </w:rPr>
              <w:tab/>
            </w:r>
            <w:r>
              <w:rPr>
                <w:rFonts w:hint="eastAsia" w:ascii="楷体" w:hAnsi="楷体" w:eastAsia="楷体" w:cs="宋体"/>
                <w:bCs w:val="0"/>
                <w:color w:val="000000"/>
                <w:spacing w:val="0"/>
                <w:kern w:val="2"/>
                <w:sz w:val="24"/>
                <w:szCs w:val="24"/>
                <w:lang w:val="en-US" w:eastAsia="zh-CN" w:bidi="ar-SA"/>
              </w:rPr>
              <w:t xml:space="preserve">                家居饰品</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 2021年5月1日对供方的年度评价。</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针对合格供方（外包方）采购产品：家居饰品、家居用品、布、线、家居画等进行评价：评价内容：企业资质、供货能力、产品质量、交货期、价格、售后服务等；</w:t>
            </w:r>
          </w:p>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lang w:val="en-US" w:eastAsia="zh-CN"/>
              </w:rPr>
              <w:t>●</w:t>
            </w:r>
            <w:r>
              <w:rPr>
                <w:rFonts w:hint="eastAsia" w:ascii="楷体" w:hAnsi="楷体" w:eastAsia="楷体" w:cs="宋体"/>
                <w:bCs w:val="0"/>
                <w:color w:val="000000"/>
                <w:spacing w:val="0"/>
                <w:kern w:val="2"/>
                <w:sz w:val="24"/>
                <w:szCs w:val="24"/>
                <w:lang w:val="en-US" w:eastAsia="zh-CN" w:bidi="ar-SA"/>
              </w:rPr>
              <w:t>该公司需求物资的采购信息由供销部负责，通过签订书面采购订单和电子通讯沟通等方式向合格供方进行产品采购。</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 2021年3月1日采购合同</w:t>
            </w:r>
          </w:p>
          <w:p>
            <w:pPr>
              <w:spacing w:line="360" w:lineRule="auto"/>
              <w:ind w:firstLine="480" w:firstLineChars="200"/>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产品名称：家居饰品等、 规格：参照实际下单明细   采购数量：参照实际下单明细  等</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供方：安溪县凤城麒麟家居饰品商行  供货日期：依照下单时间为准，在合格供方名录里</w:t>
            </w:r>
          </w:p>
          <w:p>
            <w:pPr>
              <w:pStyle w:val="2"/>
              <w:rPr>
                <w:rFonts w:hint="eastAsia"/>
                <w:lang w:val="en-US" w:eastAsia="zh-CN"/>
              </w:rPr>
            </w:pP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标识和可追溯性</w:t>
            </w:r>
          </w:p>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顾客或外供方财产</w:t>
            </w:r>
          </w:p>
        </w:tc>
        <w:tc>
          <w:tcPr>
            <w:tcW w:w="356"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 8.5.2</w:t>
            </w:r>
          </w:p>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8.5.3</w:t>
            </w:r>
          </w:p>
          <w:p>
            <w:pPr>
              <w:spacing w:line="400" w:lineRule="exact"/>
              <w:rPr>
                <w:rFonts w:hint="eastAsia" w:ascii="楷体" w:hAnsi="楷体" w:eastAsia="楷体" w:cs="宋体"/>
                <w:bCs w:val="0"/>
                <w:color w:val="000000"/>
                <w:spacing w:val="0"/>
                <w:kern w:val="2"/>
                <w:sz w:val="24"/>
                <w:szCs w:val="24"/>
                <w:lang w:val="en-US" w:eastAsia="zh-CN" w:bidi="ar-SA"/>
              </w:rPr>
            </w:pPr>
          </w:p>
        </w:tc>
        <w:tc>
          <w:tcPr>
            <w:tcW w:w="3993" w:type="pct"/>
            <w:noWrap w:val="0"/>
            <w:vAlign w:val="center"/>
          </w:tcPr>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US" w:eastAsia="zh-CN" w:bidi="ar-SA"/>
              </w:rPr>
              <w:t>销售人员</w:t>
            </w:r>
            <w:r>
              <w:rPr>
                <w:rFonts w:hint="eastAsia" w:ascii="楷体" w:hAnsi="楷体" w:eastAsia="楷体" w:cs="宋体"/>
                <w:bCs w:val="0"/>
                <w:color w:val="000000"/>
                <w:spacing w:val="0"/>
                <w:kern w:val="2"/>
                <w:sz w:val="24"/>
                <w:szCs w:val="24"/>
                <w:lang w:val="en-GB" w:eastAsia="zh-CN" w:bidi="ar-SA"/>
              </w:rPr>
              <w:t>每次配送商品都要将商品的有关信息进行记录，保持商品在销售及售后的全过程中处于可识别状态，以销售人员在销售文件和资料上的签字或印章为标识,工作人员、销售人员服务质量以销售部经理、公司的考核评价、月检查评定为状态标识。</w:t>
            </w:r>
          </w:p>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在</w:t>
            </w:r>
            <w:r>
              <w:rPr>
                <w:rFonts w:hint="eastAsia" w:ascii="楷体" w:hAnsi="楷体" w:eastAsia="楷体" w:cs="宋体"/>
                <w:bCs w:val="0"/>
                <w:color w:val="000000"/>
                <w:spacing w:val="0"/>
                <w:kern w:val="2"/>
                <w:sz w:val="24"/>
                <w:szCs w:val="24"/>
                <w:lang w:val="en-US" w:eastAsia="zh-CN" w:bidi="ar-SA"/>
              </w:rPr>
              <w:t>该</w:t>
            </w:r>
            <w:r>
              <w:rPr>
                <w:rFonts w:hint="eastAsia" w:ascii="楷体" w:hAnsi="楷体" w:eastAsia="楷体" w:cs="宋体"/>
                <w:bCs w:val="0"/>
                <w:color w:val="000000"/>
                <w:spacing w:val="0"/>
                <w:kern w:val="2"/>
                <w:sz w:val="24"/>
                <w:szCs w:val="24"/>
                <w:lang w:val="en-GB" w:eastAsia="zh-CN" w:bidi="ar-SA"/>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US" w:eastAsia="zh-CN" w:bidi="ar-SA"/>
              </w:rPr>
              <w:t>销售部</w:t>
            </w:r>
            <w:r>
              <w:rPr>
                <w:rFonts w:hint="eastAsia" w:ascii="楷体" w:hAnsi="楷体" w:eastAsia="楷体" w:cs="宋体"/>
                <w:bCs w:val="0"/>
                <w:color w:val="000000"/>
                <w:spacing w:val="0"/>
                <w:kern w:val="2"/>
                <w:sz w:val="24"/>
                <w:szCs w:val="24"/>
                <w:lang w:val="en-GB" w:eastAsia="zh-CN" w:bidi="ar-SA"/>
              </w:rPr>
              <w:t>部负责接收和验证顾客提供的财产，并记录验证结果。</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销售部</w:t>
            </w:r>
            <w:r>
              <w:rPr>
                <w:rFonts w:hint="eastAsia" w:ascii="楷体" w:hAnsi="楷体" w:eastAsia="楷体" w:cs="宋体"/>
                <w:bCs w:val="0"/>
                <w:color w:val="000000"/>
                <w:spacing w:val="0"/>
                <w:kern w:val="2"/>
                <w:sz w:val="24"/>
                <w:szCs w:val="24"/>
                <w:lang w:val="en-GB" w:eastAsia="zh-CN" w:bidi="ar-SA"/>
              </w:rPr>
              <w:t>负责维护和使用顾客财产，若顾客财产发生丢失、损坏或发现不适用的情况时，应报告顾客，并保持记录。</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交付后的活动</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Q8.5.5</w:t>
            </w:r>
          </w:p>
          <w:p>
            <w:pPr>
              <w:rPr>
                <w:rFonts w:hint="eastAsia" w:ascii="楷体" w:hAnsi="楷体" w:eastAsia="楷体" w:cs="宋体"/>
                <w:bCs w:val="0"/>
                <w:color w:val="000000"/>
                <w:spacing w:val="0"/>
                <w:kern w:val="2"/>
                <w:sz w:val="24"/>
                <w:szCs w:val="24"/>
                <w:lang w:val="en-US" w:eastAsia="zh-CN" w:bidi="ar-SA"/>
              </w:rPr>
            </w:pPr>
          </w:p>
        </w:tc>
        <w:tc>
          <w:tcPr>
            <w:tcW w:w="3993" w:type="pct"/>
            <w:noWrap w:val="0"/>
            <w:vAlign w:val="center"/>
          </w:tcPr>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该公司交付后主要是</w:t>
            </w:r>
            <w:r>
              <w:rPr>
                <w:rFonts w:hint="eastAsia" w:ascii="楷体" w:hAnsi="楷体" w:eastAsia="楷体" w:cs="宋体"/>
                <w:bCs w:val="0"/>
                <w:color w:val="000000"/>
                <w:spacing w:val="0"/>
                <w:kern w:val="2"/>
                <w:sz w:val="24"/>
                <w:szCs w:val="24"/>
                <w:lang w:val="en-US" w:eastAsia="zh-CN" w:bidi="ar-SA"/>
              </w:rPr>
              <w:t>上门安装地板或维修更换地板</w:t>
            </w:r>
            <w:r>
              <w:rPr>
                <w:rFonts w:hint="eastAsia" w:ascii="楷体" w:hAnsi="楷体" w:eastAsia="楷体" w:cs="宋体"/>
                <w:bCs w:val="0"/>
                <w:color w:val="000000"/>
                <w:spacing w:val="0"/>
                <w:kern w:val="2"/>
                <w:sz w:val="24"/>
                <w:szCs w:val="24"/>
                <w:lang w:val="en-GB" w:eastAsia="zh-CN" w:bidi="ar-SA"/>
              </w:rPr>
              <w:t>，同时跟踪项目进度、顾客回访、顾客反馈、顾客满意度调查等形式进行。与该部门负责人交流，该公司根据顾客交付后一周内进行电话进行顾客回访，无不满意情况发生，体系运行至今无顾客不良反馈。</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采购的物质经验收合格后由仓库进行管理；销售的产品根据数量的多少、发运的地点及包装要求由销售人员联系物流，在规定的时间内将产品送到客户指定地点。</w:t>
            </w:r>
          </w:p>
          <w:p>
            <w:pPr>
              <w:rPr>
                <w:rFonts w:hint="eastAsia" w:ascii="楷体" w:hAnsi="楷体" w:eastAsia="楷体" w:cs="宋体"/>
                <w:bCs w:val="0"/>
                <w:color w:val="000000"/>
                <w:spacing w:val="0"/>
                <w:kern w:val="2"/>
                <w:sz w:val="24"/>
                <w:szCs w:val="24"/>
                <w:lang w:val="en-US" w:eastAsia="zh-CN" w:bidi="ar-SA"/>
              </w:rPr>
            </w:pP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顾客满意度</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Q9.1.2</w:t>
            </w:r>
          </w:p>
        </w:tc>
        <w:tc>
          <w:tcPr>
            <w:tcW w:w="3993" w:type="pct"/>
            <w:noWrap w:val="0"/>
            <w:vAlign w:val="center"/>
          </w:tcPr>
          <w:p>
            <w:pPr>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公司通过电话，走访等形式，接受顾客反馈，了解顾客顾客满意度信息，发放调查表对顾客满意度进行定量测量。</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zh-CN" w:eastAsia="zh-CN" w:bidi="ar-SA"/>
              </w:rPr>
              <w:t>提供《客户满意度调查表》，调查主要内容：</w:t>
            </w:r>
            <w:r>
              <w:rPr>
                <w:rFonts w:hint="eastAsia" w:ascii="楷体" w:hAnsi="楷体" w:eastAsia="楷体" w:cs="宋体"/>
                <w:bCs w:val="0"/>
                <w:color w:val="000000"/>
                <w:spacing w:val="0"/>
                <w:kern w:val="2"/>
                <w:sz w:val="24"/>
                <w:szCs w:val="24"/>
                <w:lang w:val="en-US" w:eastAsia="zh-CN" w:bidi="ar-SA"/>
              </w:rPr>
              <w:t>质量、价格、外观、服务等方面的满意程度</w:t>
            </w:r>
            <w:r>
              <w:rPr>
                <w:rFonts w:hint="eastAsia" w:ascii="楷体" w:hAnsi="楷体" w:eastAsia="楷体" w:cs="宋体"/>
                <w:bCs w:val="0"/>
                <w:color w:val="000000"/>
                <w:spacing w:val="0"/>
                <w:kern w:val="2"/>
                <w:sz w:val="24"/>
                <w:szCs w:val="24"/>
                <w:lang w:val="zh-CN" w:eastAsia="zh-CN" w:bidi="ar-SA"/>
              </w:rPr>
              <w:t>等，</w:t>
            </w:r>
            <w:r>
              <w:rPr>
                <w:rFonts w:hint="eastAsia" w:ascii="楷体" w:hAnsi="楷体" w:eastAsia="楷体" w:cs="宋体"/>
                <w:bCs w:val="0"/>
                <w:color w:val="000000"/>
                <w:spacing w:val="0"/>
                <w:kern w:val="2"/>
                <w:sz w:val="24"/>
                <w:szCs w:val="24"/>
                <w:lang w:val="en-US" w:eastAsia="zh-CN" w:bidi="ar-SA"/>
              </w:rPr>
              <w:t>各项得分求平均值得最终结果</w:t>
            </w:r>
            <w:r>
              <w:rPr>
                <w:rFonts w:hint="eastAsia" w:ascii="楷体" w:hAnsi="楷体" w:eastAsia="楷体" w:cs="宋体"/>
                <w:bCs w:val="0"/>
                <w:color w:val="000000"/>
                <w:spacing w:val="0"/>
                <w:kern w:val="2"/>
                <w:sz w:val="24"/>
                <w:szCs w:val="24"/>
                <w:lang w:val="zh-CN" w:eastAsia="zh-CN" w:bidi="ar-SA"/>
              </w:rPr>
              <w:t>。</w:t>
            </w:r>
            <w:r>
              <w:rPr>
                <w:rFonts w:hint="eastAsia" w:ascii="楷体" w:hAnsi="楷体" w:eastAsia="楷体" w:cs="宋体"/>
                <w:bCs w:val="0"/>
                <w:color w:val="000000"/>
                <w:spacing w:val="0"/>
                <w:kern w:val="2"/>
                <w:sz w:val="24"/>
                <w:szCs w:val="24"/>
                <w:lang w:val="en-US" w:eastAsia="zh-CN" w:bidi="ar-SA"/>
              </w:rPr>
              <w:t>提供顾客满意调查分析查看《顾客满意度调查报告》。最终顾客满意率97%。该结果已提交管理评审。</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运行控制</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EO8.1</w:t>
            </w:r>
          </w:p>
        </w:tc>
        <w:tc>
          <w:tcPr>
            <w:tcW w:w="3993" w:type="pct"/>
            <w:noWrap w:val="0"/>
            <w:vAlign w:val="center"/>
          </w:tcPr>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本部门执行的运行控制文件包括：运行控制程序，固体废弃物管理规定、对相关方施加影响管理规定、节能降耗管理规定、消防安全管理制度、行政部安全管理制度、</w:t>
            </w:r>
            <w:r>
              <w:rPr>
                <w:rFonts w:hint="eastAsia" w:ascii="楷体" w:hAnsi="楷体" w:eastAsia="楷体" w:cs="宋体"/>
                <w:bCs w:val="0"/>
                <w:color w:val="000000"/>
                <w:spacing w:val="0"/>
                <w:kern w:val="2"/>
                <w:sz w:val="24"/>
                <w:szCs w:val="24"/>
                <w:lang w:val="en-GB" w:eastAsia="zh-CN" w:bidi="ar-SA"/>
              </w:rPr>
              <w:t>车辆管理规定、电脑使用管理办法</w:t>
            </w:r>
            <w:r>
              <w:rPr>
                <w:rFonts w:hint="eastAsia" w:ascii="楷体" w:hAnsi="楷体" w:eastAsia="楷体" w:cs="宋体"/>
                <w:bCs w:val="0"/>
                <w:color w:val="000000"/>
                <w:spacing w:val="0"/>
                <w:kern w:val="2"/>
                <w:sz w:val="24"/>
                <w:szCs w:val="24"/>
                <w:lang w:val="zh-CN" w:eastAsia="zh-CN" w:bidi="ar-SA"/>
              </w:rPr>
              <w:t>等</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运行控制情况：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1、办公区域：生活污水排放至城市管网。噪声：办公现场不产生明显噪声。</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固废：固体废物主要是生活垃圾、办公产生废纸张废包装物等，配置了垃圾桶、可回收箱分类处置；办公用纸由行政部负责，复印、打印耗材都有行政部统一负责，集中处置。</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2、办公过程注意节约用电，做到人走灯灭，电脑长时间不用时关机，下班前要关闭电源，防止触电。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3、办公区域禁止吸烟，查看办公区域环境整洁、宽敞、办公设备状态良好、无安全隐患。</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4、工作时间平均每天不超过8小时。</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5、查看办公区域，整洁、光线充足、室内空气良好，办公条件较好，办公设备安全状态良好，教育员工正确使用办公设备，规范用电，无乱拉线现象，防止火灾发生。</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7、相关方施加影响：公司能够控制或能够施加影响的相关方有顾客等。提供了“致相关方的公开信”，将公司的环境/安全控制要求发放</w:t>
            </w:r>
            <w:r>
              <w:rPr>
                <w:rFonts w:hint="eastAsia" w:ascii="楷体" w:hAnsi="楷体" w:eastAsia="楷体" w:cs="宋体"/>
                <w:bCs w:val="0"/>
                <w:color w:val="000000"/>
                <w:spacing w:val="0"/>
                <w:kern w:val="2"/>
                <w:sz w:val="24"/>
                <w:szCs w:val="24"/>
                <w:lang w:val="en-US" w:eastAsia="zh-CN" w:bidi="ar-SA"/>
              </w:rPr>
              <w:t>给</w:t>
            </w:r>
            <w:r>
              <w:rPr>
                <w:rFonts w:hint="eastAsia" w:ascii="楷体" w:hAnsi="楷体" w:eastAsia="楷体" w:cs="宋体"/>
                <w:bCs w:val="0"/>
                <w:color w:val="000000"/>
                <w:spacing w:val="0"/>
                <w:kern w:val="2"/>
                <w:sz w:val="24"/>
                <w:szCs w:val="24"/>
                <w:lang w:val="zh-CN" w:eastAsia="zh-CN" w:bidi="ar-SA"/>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8、要求遵守道路交通法规，不违章驾车，驾驶证和车辆定期年审，确保行车安全。</w:t>
            </w:r>
          </w:p>
          <w:p>
            <w:pPr>
              <w:ind w:firstLine="480" w:firstLineChars="200"/>
              <w:rPr>
                <w:rFonts w:hint="eastAsia" w:ascii="楷体" w:hAnsi="楷体" w:eastAsia="楷体" w:cs="宋体"/>
                <w:bCs w:val="0"/>
                <w:color w:val="000000"/>
                <w:spacing w:val="0"/>
                <w:kern w:val="2"/>
                <w:sz w:val="24"/>
                <w:szCs w:val="24"/>
                <w:lang w:val="en-US" w:eastAsia="zh-CN" w:bidi="ar-SA"/>
              </w:rPr>
            </w:pP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应急准备和响应</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EO8.2</w:t>
            </w:r>
          </w:p>
        </w:tc>
        <w:tc>
          <w:tcPr>
            <w:tcW w:w="3993"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执行《</w:t>
            </w:r>
            <w:r>
              <w:rPr>
                <w:rFonts w:hint="eastAsia" w:ascii="楷体" w:hAnsi="楷体" w:eastAsia="楷体" w:cs="宋体"/>
                <w:bCs w:val="0"/>
                <w:color w:val="000000"/>
                <w:spacing w:val="0"/>
                <w:kern w:val="2"/>
                <w:sz w:val="24"/>
                <w:szCs w:val="24"/>
                <w:lang w:val="zh-CN" w:eastAsia="zh-CN" w:bidi="ar-SA"/>
              </w:rPr>
              <w:t>应急准备和响应</w:t>
            </w:r>
            <w:r>
              <w:rPr>
                <w:rFonts w:hint="eastAsia" w:ascii="楷体" w:hAnsi="楷体" w:eastAsia="楷体" w:cs="宋体"/>
                <w:bCs w:val="0"/>
                <w:color w:val="000000"/>
                <w:spacing w:val="0"/>
                <w:kern w:val="2"/>
                <w:sz w:val="24"/>
                <w:szCs w:val="24"/>
                <w:lang w:val="en-US" w:eastAsia="zh-CN" w:bidi="ar-SA"/>
              </w:rPr>
              <w:t>控制</w:t>
            </w:r>
            <w:r>
              <w:rPr>
                <w:rFonts w:hint="eastAsia" w:ascii="楷体" w:hAnsi="楷体" w:eastAsia="楷体" w:cs="宋体"/>
                <w:bCs w:val="0"/>
                <w:color w:val="000000"/>
                <w:spacing w:val="0"/>
                <w:kern w:val="2"/>
                <w:sz w:val="24"/>
                <w:szCs w:val="24"/>
                <w:lang w:val="zh-CN" w:eastAsia="zh-CN" w:bidi="ar-SA"/>
              </w:rPr>
              <w:t>程序</w:t>
            </w:r>
            <w:r>
              <w:rPr>
                <w:rFonts w:hint="eastAsia" w:ascii="楷体" w:hAnsi="楷体" w:eastAsia="楷体" w:cs="宋体"/>
                <w:bCs w:val="0"/>
                <w:color w:val="000000"/>
                <w:spacing w:val="0"/>
                <w:kern w:val="2"/>
                <w:sz w:val="24"/>
                <w:szCs w:val="24"/>
                <w:lang w:val="en-US" w:eastAsia="zh-CN" w:bidi="ar-SA"/>
              </w:rPr>
              <w:t>》，参加了公司组织消防演练，相关记录详见办公室相关条款。</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p>
        </w:tc>
      </w:tr>
    </w:tbl>
    <w:p>
      <w:pPr>
        <w:pStyle w:val="9"/>
        <w:rPr>
          <w:rFonts w:hint="eastAsia" w:ascii="楷体" w:hAnsi="楷体" w:eastAsia="楷体" w:cs="宋体"/>
          <w:bCs w:val="0"/>
          <w:color w:val="000000"/>
          <w:spacing w:val="0"/>
          <w:kern w:val="2"/>
          <w:sz w:val="24"/>
          <w:szCs w:val="24"/>
          <w:lang w:val="en-US" w:eastAsia="zh-CN" w:bidi="ar-S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D27C02"/>
    <w:rsid w:val="0137578E"/>
    <w:rsid w:val="023941CF"/>
    <w:rsid w:val="02743A23"/>
    <w:rsid w:val="02C91F30"/>
    <w:rsid w:val="0374320A"/>
    <w:rsid w:val="03A644B2"/>
    <w:rsid w:val="043E40D2"/>
    <w:rsid w:val="04B070D8"/>
    <w:rsid w:val="04E3379D"/>
    <w:rsid w:val="07B3748A"/>
    <w:rsid w:val="0A246BA4"/>
    <w:rsid w:val="0A2A630B"/>
    <w:rsid w:val="0A9D0CAF"/>
    <w:rsid w:val="11010C82"/>
    <w:rsid w:val="11172982"/>
    <w:rsid w:val="11E2324D"/>
    <w:rsid w:val="137F4113"/>
    <w:rsid w:val="14241075"/>
    <w:rsid w:val="14EC74AA"/>
    <w:rsid w:val="1AE442EC"/>
    <w:rsid w:val="1B9A63DC"/>
    <w:rsid w:val="1F2102AD"/>
    <w:rsid w:val="1F8228E2"/>
    <w:rsid w:val="1FC01D5D"/>
    <w:rsid w:val="20A339FB"/>
    <w:rsid w:val="20CD434D"/>
    <w:rsid w:val="21520FC2"/>
    <w:rsid w:val="21C60E9C"/>
    <w:rsid w:val="21E43DD9"/>
    <w:rsid w:val="22392900"/>
    <w:rsid w:val="22B920CC"/>
    <w:rsid w:val="237107AD"/>
    <w:rsid w:val="24557535"/>
    <w:rsid w:val="248832CB"/>
    <w:rsid w:val="2543007A"/>
    <w:rsid w:val="274F297F"/>
    <w:rsid w:val="2C2800BA"/>
    <w:rsid w:val="2D6F0D20"/>
    <w:rsid w:val="2E8D4551"/>
    <w:rsid w:val="31054460"/>
    <w:rsid w:val="31861F50"/>
    <w:rsid w:val="32913106"/>
    <w:rsid w:val="331A22F8"/>
    <w:rsid w:val="358C5213"/>
    <w:rsid w:val="37521A1F"/>
    <w:rsid w:val="381E48EB"/>
    <w:rsid w:val="38B823C6"/>
    <w:rsid w:val="39771278"/>
    <w:rsid w:val="3A443BE6"/>
    <w:rsid w:val="3CAC12F4"/>
    <w:rsid w:val="3D4A734A"/>
    <w:rsid w:val="420F3B99"/>
    <w:rsid w:val="42DA6561"/>
    <w:rsid w:val="430A4C33"/>
    <w:rsid w:val="43B9620F"/>
    <w:rsid w:val="43E470B0"/>
    <w:rsid w:val="44330E23"/>
    <w:rsid w:val="44DA663A"/>
    <w:rsid w:val="4553420B"/>
    <w:rsid w:val="455543ED"/>
    <w:rsid w:val="464E35B6"/>
    <w:rsid w:val="480266EB"/>
    <w:rsid w:val="4A157E50"/>
    <w:rsid w:val="4A1901EC"/>
    <w:rsid w:val="4ADF580E"/>
    <w:rsid w:val="4B0E3C2A"/>
    <w:rsid w:val="4D4D765F"/>
    <w:rsid w:val="4DD73AD8"/>
    <w:rsid w:val="4E585EFA"/>
    <w:rsid w:val="501A081E"/>
    <w:rsid w:val="50D035A4"/>
    <w:rsid w:val="512508ED"/>
    <w:rsid w:val="521E7520"/>
    <w:rsid w:val="555B67E4"/>
    <w:rsid w:val="560B383E"/>
    <w:rsid w:val="568878FC"/>
    <w:rsid w:val="573C7EB2"/>
    <w:rsid w:val="59F41F84"/>
    <w:rsid w:val="5AC25B7F"/>
    <w:rsid w:val="5AD13E5C"/>
    <w:rsid w:val="5EBA3AB0"/>
    <w:rsid w:val="5F6B5DAC"/>
    <w:rsid w:val="61DA5BB0"/>
    <w:rsid w:val="634C0B64"/>
    <w:rsid w:val="636A2C21"/>
    <w:rsid w:val="64061384"/>
    <w:rsid w:val="645F79BB"/>
    <w:rsid w:val="64784DF1"/>
    <w:rsid w:val="6812170B"/>
    <w:rsid w:val="68E65C61"/>
    <w:rsid w:val="69AF5E21"/>
    <w:rsid w:val="6A3E1F05"/>
    <w:rsid w:val="6ACB16DA"/>
    <w:rsid w:val="6B604A0B"/>
    <w:rsid w:val="6BD14CEB"/>
    <w:rsid w:val="6D2F50EA"/>
    <w:rsid w:val="6D67354D"/>
    <w:rsid w:val="6DF935BD"/>
    <w:rsid w:val="6E680FDE"/>
    <w:rsid w:val="6E91596D"/>
    <w:rsid w:val="6EA474CA"/>
    <w:rsid w:val="6F277D95"/>
    <w:rsid w:val="706D5F19"/>
    <w:rsid w:val="716B3AAD"/>
    <w:rsid w:val="71F25BBB"/>
    <w:rsid w:val="72042FC7"/>
    <w:rsid w:val="7219025C"/>
    <w:rsid w:val="72CA5A37"/>
    <w:rsid w:val="72DD7520"/>
    <w:rsid w:val="73397B42"/>
    <w:rsid w:val="73E23A22"/>
    <w:rsid w:val="740C7F92"/>
    <w:rsid w:val="74B654A3"/>
    <w:rsid w:val="74C72D16"/>
    <w:rsid w:val="75452668"/>
    <w:rsid w:val="754E6F5E"/>
    <w:rsid w:val="79A033E7"/>
    <w:rsid w:val="7AAA00DC"/>
    <w:rsid w:val="7B8C29DF"/>
    <w:rsid w:val="7DFA3A1A"/>
    <w:rsid w:val="7E5D0AB1"/>
    <w:rsid w:val="7EB26EC7"/>
    <w:rsid w:val="7FB44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5">
    <w:name w:val="Body Text"/>
    <w:basedOn w:val="1"/>
    <w:qFormat/>
    <w:uiPriority w:val="0"/>
    <w:pPr>
      <w:spacing w:after="120"/>
    </w:pPr>
    <w:rPr>
      <w:szCs w:val="24"/>
    </w:rPr>
  </w:style>
  <w:style w:type="paragraph" w:styleId="6">
    <w:name w:val="Body Text Indent"/>
    <w:basedOn w:val="1"/>
    <w:qFormat/>
    <w:uiPriority w:val="0"/>
    <w:pPr>
      <w:ind w:left="360"/>
    </w:pPr>
    <w:rPr>
      <w:sz w:val="20"/>
    </w:rPr>
  </w:style>
  <w:style w:type="paragraph" w:styleId="7">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NormalCharacter"/>
    <w:semiHidden/>
    <w:qFormat/>
    <w:uiPriority w:val="0"/>
    <w:rPr>
      <w:kern w:val="2"/>
      <w:sz w:val="21"/>
      <w:szCs w:val="24"/>
      <w:lang w:val="en-US" w:eastAsia="zh-CN" w:bidi="ar-SA"/>
    </w:rPr>
  </w:style>
  <w:style w:type="character" w:customStyle="1" w:styleId="20">
    <w:name w:val="layui-this"/>
    <w:basedOn w:val="13"/>
    <w:uiPriority w:val="0"/>
    <w:rPr>
      <w:bdr w:val="single" w:color="EEEEEE" w:sz="4" w:space="0"/>
      <w:shd w:val="clear" w:fill="FFFFFF"/>
    </w:rPr>
  </w:style>
  <w:style w:type="character" w:customStyle="1" w:styleId="21">
    <w:name w:val="first-child"/>
    <w:basedOn w:val="1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2021-12-26T06:58:24Z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521749EFF82D4D6491B922F04B4BC049</vt:lpwstr>
  </property>
</Properties>
</file>