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bCs/>
          <w:color w:val="000000"/>
          <w:sz w:val="36"/>
          <w:szCs w:val="36"/>
        </w:rPr>
      </w:pPr>
      <w:r>
        <w:rPr>
          <w:rFonts w:hint="eastAsia" w:ascii="宋体" w:hAnsi="宋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宋体"/>
                <w:sz w:val="24"/>
                <w:szCs w:val="24"/>
              </w:rPr>
            </w:pPr>
            <w:r>
              <w:rPr>
                <w:rFonts w:hint="eastAsia" w:ascii="宋体" w:hAnsi="宋体"/>
                <w:sz w:val="24"/>
                <w:szCs w:val="24"/>
              </w:rPr>
              <w:t>过程与活动、</w:t>
            </w:r>
          </w:p>
          <w:p>
            <w:pPr>
              <w:jc w:val="center"/>
              <w:rPr>
                <w:rFonts w:ascii="宋体"/>
                <w:sz w:val="24"/>
                <w:szCs w:val="24"/>
              </w:rPr>
            </w:pPr>
            <w:r>
              <w:rPr>
                <w:rFonts w:hint="eastAsia" w:ascii="宋体" w:hAnsi="宋体"/>
                <w:sz w:val="24"/>
                <w:szCs w:val="24"/>
              </w:rPr>
              <w:t>抽样计划</w:t>
            </w:r>
          </w:p>
        </w:tc>
        <w:tc>
          <w:tcPr>
            <w:tcW w:w="1311" w:type="dxa"/>
            <w:vMerge w:val="restart"/>
            <w:vAlign w:val="center"/>
          </w:tcPr>
          <w:p>
            <w:pPr>
              <w:rPr>
                <w:rFonts w:ascii="宋体"/>
                <w:sz w:val="24"/>
                <w:szCs w:val="24"/>
              </w:rPr>
            </w:pPr>
            <w:r>
              <w:rPr>
                <w:rFonts w:hint="eastAsia" w:ascii="宋体" w:hAnsi="宋体"/>
                <w:sz w:val="24"/>
                <w:szCs w:val="24"/>
              </w:rPr>
              <w:t>涉及条款</w:t>
            </w:r>
          </w:p>
        </w:tc>
        <w:tc>
          <w:tcPr>
            <w:tcW w:w="10004" w:type="dxa"/>
            <w:vAlign w:val="center"/>
          </w:tcPr>
          <w:p>
            <w:pPr>
              <w:rPr>
                <w:rFonts w:hint="default" w:ascii="宋体" w:eastAsia="宋体"/>
                <w:sz w:val="24"/>
                <w:szCs w:val="24"/>
                <w:lang w:val="en-US" w:eastAsia="zh-CN"/>
              </w:rPr>
            </w:pPr>
            <w:r>
              <w:rPr>
                <w:rFonts w:hint="eastAsia" w:ascii="宋体" w:hAnsi="宋体"/>
                <w:sz w:val="24"/>
                <w:szCs w:val="24"/>
              </w:rPr>
              <w:t>受审核部门：管理层  主管领导：</w:t>
            </w:r>
            <w:r>
              <w:rPr>
                <w:rFonts w:hint="eastAsia" w:ascii="宋体" w:hAnsi="宋体"/>
                <w:sz w:val="24"/>
                <w:szCs w:val="24"/>
                <w:lang w:val="en-US" w:eastAsia="zh-CN"/>
              </w:rPr>
              <w:t>朱莉莉</w:t>
            </w:r>
            <w:r>
              <w:rPr>
                <w:rFonts w:hint="eastAsia" w:ascii="宋体" w:hAnsi="宋体"/>
                <w:sz w:val="24"/>
              </w:rPr>
              <w:t xml:space="preserve"> </w:t>
            </w:r>
            <w:r>
              <w:rPr>
                <w:rFonts w:ascii="宋体" w:hAnsi="宋体"/>
                <w:sz w:val="24"/>
                <w:szCs w:val="24"/>
              </w:rPr>
              <w:t xml:space="preserve">   </w:t>
            </w:r>
            <w:r>
              <w:rPr>
                <w:rFonts w:hint="eastAsia" w:ascii="宋体" w:hAnsi="宋体"/>
                <w:sz w:val="24"/>
                <w:szCs w:val="24"/>
              </w:rPr>
              <w:t>陪同人员：</w:t>
            </w:r>
            <w:r>
              <w:rPr>
                <w:rFonts w:hint="eastAsia"/>
                <w:lang w:val="en-US" w:eastAsia="zh-CN"/>
              </w:rPr>
              <w:t>唐娜</w:t>
            </w:r>
          </w:p>
        </w:tc>
        <w:tc>
          <w:tcPr>
            <w:tcW w:w="1585" w:type="dxa"/>
            <w:vMerge w:val="restart"/>
            <w:vAlign w:val="center"/>
          </w:tcPr>
          <w:p>
            <w:pPr>
              <w:rPr>
                <w:rFonts w:ascii="宋体"/>
                <w:sz w:val="24"/>
                <w:szCs w:val="24"/>
              </w:rPr>
            </w:pPr>
            <w:r>
              <w:rPr>
                <w:rFonts w:hint="eastAsia" w:ascii="宋体" w:hAnsi="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spacing w:before="120"/>
              <w:rPr>
                <w:rFonts w:hint="eastAsia" w:ascii="宋体" w:eastAsia="宋体"/>
                <w:sz w:val="24"/>
                <w:szCs w:val="24"/>
                <w:lang w:eastAsia="zh-CN"/>
              </w:rPr>
            </w:pPr>
            <w:r>
              <w:rPr>
                <w:rFonts w:hint="eastAsia" w:ascii="宋体" w:hAnsi="宋体"/>
                <w:sz w:val="24"/>
                <w:szCs w:val="24"/>
              </w:rPr>
              <w:t>审核员：伍光华</w:t>
            </w:r>
            <w:r>
              <w:rPr>
                <w:rFonts w:ascii="宋体" w:hAnsi="宋体"/>
                <w:sz w:val="24"/>
                <w:szCs w:val="24"/>
              </w:rPr>
              <w:t xml:space="preserve">    </w:t>
            </w:r>
            <w:r>
              <w:rPr>
                <w:rFonts w:hint="eastAsia" w:ascii="宋体" w:hAnsi="宋体"/>
                <w:sz w:val="24"/>
                <w:szCs w:val="24"/>
              </w:rPr>
              <w:t>审核时间：</w:t>
            </w:r>
            <w:r>
              <w:rPr>
                <w:rFonts w:ascii="宋体" w:hAnsi="宋体"/>
                <w:sz w:val="24"/>
                <w:szCs w:val="24"/>
              </w:rPr>
              <w:t>2019.</w:t>
            </w:r>
            <w:r>
              <w:rPr>
                <w:rFonts w:hint="eastAsia" w:ascii="宋体" w:hAnsi="宋体"/>
                <w:sz w:val="24"/>
                <w:szCs w:val="24"/>
                <w:lang w:val="en-US" w:eastAsia="zh-CN"/>
              </w:rPr>
              <w:t>12</w:t>
            </w:r>
            <w:r>
              <w:rPr>
                <w:rFonts w:ascii="宋体"/>
                <w:sz w:val="24"/>
                <w:szCs w:val="24"/>
              </w:rPr>
              <w:t>.</w:t>
            </w:r>
            <w:r>
              <w:rPr>
                <w:rFonts w:hint="eastAsia" w:ascii="宋体" w:hAnsi="宋体"/>
                <w:sz w:val="24"/>
                <w:szCs w:val="24"/>
                <w:lang w:val="en-US" w:eastAsia="zh-CN"/>
              </w:rPr>
              <w:t>3</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宋体"/>
                <w:sz w:val="24"/>
                <w:szCs w:val="24"/>
              </w:rPr>
            </w:pPr>
          </w:p>
        </w:tc>
        <w:tc>
          <w:tcPr>
            <w:tcW w:w="1311" w:type="dxa"/>
            <w:vMerge w:val="continue"/>
            <w:vAlign w:val="center"/>
          </w:tcPr>
          <w:p>
            <w:pPr>
              <w:rPr>
                <w:rFonts w:ascii="宋体"/>
                <w:sz w:val="24"/>
                <w:szCs w:val="24"/>
              </w:rPr>
            </w:pPr>
          </w:p>
        </w:tc>
        <w:tc>
          <w:tcPr>
            <w:tcW w:w="10004" w:type="dxa"/>
            <w:vAlign w:val="center"/>
          </w:tcPr>
          <w:p>
            <w:pPr>
              <w:adjustRightInd w:val="0"/>
              <w:textAlignment w:val="baseline"/>
              <w:rPr>
                <w:rFonts w:ascii="宋体" w:hAnsi="宋体"/>
                <w:kern w:val="0"/>
                <w:sz w:val="21"/>
                <w:szCs w:val="21"/>
              </w:rPr>
            </w:pPr>
            <w:r>
              <w:rPr>
                <w:rFonts w:hint="eastAsia" w:ascii="宋体" w:hAnsi="宋体"/>
                <w:sz w:val="24"/>
                <w:szCs w:val="24"/>
              </w:rPr>
              <w:t>审核条款：</w:t>
            </w:r>
            <w:r>
              <w:rPr>
                <w:rFonts w:hint="eastAsia" w:ascii="宋体" w:hAnsi="宋体"/>
                <w:kern w:val="0"/>
                <w:sz w:val="21"/>
                <w:szCs w:val="21"/>
              </w:rPr>
              <w:t>4.1理解组织及其环境、4.2理解相关方的需求和期望、4.3 确定管理体系的范围、4.4环境管理体系及其过程、5.1领导作用和承诺、5.2环境方针、5.3组织的岗位、职责和权限、6.1应对风险和机遇的措施、6.2环境目标及其实现的策划、7.1资源、7.4信息交流、9.3管理评审、10.1改进、10.3持续改进，</w:t>
            </w:r>
          </w:p>
          <w:p>
            <w:pPr>
              <w:adjustRightInd w:val="0"/>
              <w:snapToGrid w:val="0"/>
              <w:ind w:right="105" w:rightChars="50"/>
              <w:jc w:val="left"/>
              <w:textAlignment w:val="baseline"/>
              <w:rPr>
                <w:rFonts w:ascii="宋体"/>
                <w:sz w:val="24"/>
                <w:szCs w:val="24"/>
              </w:rPr>
            </w:pPr>
            <w:r>
              <w:rPr>
                <w:rFonts w:hint="eastAsia" w:ascii="宋体" w:hAnsi="宋体"/>
                <w:kern w:val="0"/>
                <w:sz w:val="21"/>
                <w:szCs w:val="21"/>
              </w:rPr>
              <w:t>国家/地方监督抽查情况；顾客满意、相关方投诉及处理情况；验证企业相关资质证明的有效性，一阶段问题验证；</w:t>
            </w:r>
          </w:p>
        </w:tc>
        <w:tc>
          <w:tcPr>
            <w:tcW w:w="1585" w:type="dxa"/>
            <w:vMerge w:val="continue"/>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企业基本信息</w:t>
            </w:r>
          </w:p>
        </w:tc>
        <w:tc>
          <w:tcPr>
            <w:tcW w:w="1311" w:type="dxa"/>
            <w:vAlign w:val="center"/>
          </w:tcPr>
          <w:p>
            <w:pPr>
              <w:rPr>
                <w:rFonts w:ascii="宋体"/>
                <w:b/>
                <w:szCs w:val="24"/>
              </w:rPr>
            </w:pPr>
          </w:p>
        </w:tc>
        <w:tc>
          <w:tcPr>
            <w:tcW w:w="10004" w:type="dxa"/>
            <w:vAlign w:val="center"/>
          </w:tcPr>
          <w:p>
            <w:pPr>
              <w:spacing w:line="360" w:lineRule="auto"/>
              <w:rPr>
                <w:rFonts w:ascii="宋体"/>
                <w:sz w:val="21"/>
                <w:szCs w:val="21"/>
              </w:rPr>
            </w:pPr>
            <w:r>
              <w:rPr>
                <w:rFonts w:hint="eastAsia" w:ascii="宋体" w:hAnsi="宋体"/>
                <w:sz w:val="21"/>
                <w:szCs w:val="21"/>
              </w:rPr>
              <w:t>面谈人员：最管理者</w:t>
            </w:r>
            <w:r>
              <w:rPr>
                <w:rFonts w:hint="eastAsia" w:ascii="宋体" w:hAnsi="宋体"/>
                <w:sz w:val="21"/>
                <w:szCs w:val="21"/>
                <w:lang w:val="en-US" w:eastAsia="zh-CN"/>
              </w:rPr>
              <w:t>郭会军</w:t>
            </w:r>
            <w:r>
              <w:rPr>
                <w:rFonts w:hint="eastAsia" w:ascii="宋体" w:hAnsi="宋体"/>
                <w:sz w:val="21"/>
                <w:szCs w:val="21"/>
              </w:rPr>
              <w:t>、管代</w:t>
            </w:r>
            <w:r>
              <w:rPr>
                <w:rFonts w:hint="eastAsia" w:ascii="宋体" w:hAnsi="宋体"/>
                <w:sz w:val="21"/>
                <w:szCs w:val="21"/>
                <w:lang w:val="en-US" w:eastAsia="zh-CN"/>
              </w:rPr>
              <w:t>朱莉莉</w:t>
            </w:r>
          </w:p>
          <w:p>
            <w:pPr>
              <w:spacing w:line="360" w:lineRule="auto"/>
              <w:ind w:firstLine="420" w:firstLineChars="200"/>
              <w:rPr>
                <w:rFonts w:hint="eastAsia" w:ascii="宋体" w:hAnsi="宋体"/>
                <w:spacing w:val="20"/>
                <w:sz w:val="21"/>
                <w:szCs w:val="21"/>
                <w:lang w:val="de-DE"/>
              </w:rPr>
            </w:pPr>
            <w:r>
              <w:rPr>
                <w:rFonts w:hint="eastAsia" w:ascii="宋体" w:hAnsi="宋体"/>
                <w:sz w:val="21"/>
                <w:szCs w:val="21"/>
              </w:rPr>
              <w:t>公司成立于</w:t>
            </w:r>
            <w:r>
              <w:rPr>
                <w:rFonts w:ascii="宋体" w:hAnsi="宋体"/>
                <w:sz w:val="21"/>
                <w:szCs w:val="21"/>
              </w:rPr>
              <w:t>20</w:t>
            </w:r>
            <w:r>
              <w:rPr>
                <w:rFonts w:hint="eastAsia" w:ascii="宋体" w:hAnsi="宋体"/>
                <w:sz w:val="21"/>
                <w:szCs w:val="21"/>
                <w:lang w:val="en-US" w:eastAsia="zh-CN"/>
              </w:rPr>
              <w:t>07</w:t>
            </w:r>
            <w:r>
              <w:rPr>
                <w:rFonts w:hint="eastAsia" w:ascii="宋体" w:hAnsi="宋体"/>
                <w:sz w:val="21"/>
                <w:szCs w:val="21"/>
              </w:rPr>
              <w:t>年</w:t>
            </w:r>
            <w:r>
              <w:rPr>
                <w:rFonts w:hint="eastAsia" w:ascii="宋体" w:hAnsi="宋体"/>
                <w:sz w:val="21"/>
                <w:szCs w:val="21"/>
                <w:lang w:val="en-US" w:eastAsia="zh-CN"/>
              </w:rPr>
              <w:t>4</w:t>
            </w:r>
            <w:r>
              <w:rPr>
                <w:rFonts w:hint="eastAsia" w:ascii="宋体" w:hAnsi="宋体"/>
                <w:sz w:val="21"/>
                <w:szCs w:val="21"/>
              </w:rPr>
              <w:t>月</w:t>
            </w:r>
            <w:r>
              <w:rPr>
                <w:rFonts w:hint="eastAsia" w:ascii="宋体" w:hAnsi="宋体"/>
                <w:sz w:val="21"/>
                <w:szCs w:val="21"/>
                <w:lang w:val="en-US" w:eastAsia="zh-CN"/>
              </w:rPr>
              <w:t>23</w:t>
            </w:r>
            <w:r>
              <w:rPr>
                <w:rFonts w:hint="eastAsia" w:ascii="宋体" w:hAnsi="宋体"/>
                <w:sz w:val="21"/>
                <w:szCs w:val="21"/>
              </w:rPr>
              <w:t>日，法人代表</w:t>
            </w:r>
            <w:r>
              <w:rPr>
                <w:rFonts w:hint="eastAsia" w:ascii="宋体" w:hAnsi="宋体"/>
                <w:sz w:val="21"/>
                <w:szCs w:val="21"/>
                <w:lang w:val="en-US" w:eastAsia="zh-CN"/>
              </w:rPr>
              <w:t>郭会军</w:t>
            </w:r>
            <w:r>
              <w:rPr>
                <w:rFonts w:hint="eastAsia" w:ascii="宋体" w:hAnsi="宋体"/>
                <w:sz w:val="21"/>
                <w:szCs w:val="21"/>
              </w:rPr>
              <w:t>，注册地址：</w:t>
            </w:r>
            <w:bookmarkStart w:id="0" w:name="生产地址"/>
            <w:r>
              <w:rPr>
                <w:rFonts w:asciiTheme="minorEastAsia" w:hAnsiTheme="minorEastAsia" w:eastAsiaTheme="minorEastAsia"/>
                <w:sz w:val="21"/>
                <w:szCs w:val="21"/>
              </w:rPr>
              <w:t>陕西省宝鸡市高新开发区钓渭镇朱家滩村</w:t>
            </w:r>
            <w:bookmarkEnd w:id="0"/>
            <w:r>
              <w:rPr>
                <w:rFonts w:hint="eastAsia"/>
                <w:color w:val="000000"/>
                <w:sz w:val="21"/>
                <w:szCs w:val="21"/>
              </w:rPr>
              <w:t>。</w:t>
            </w:r>
            <w:r>
              <w:rPr>
                <w:rFonts w:hint="eastAsia" w:ascii="宋体" w:hAnsi="宋体"/>
                <w:spacing w:val="20"/>
                <w:sz w:val="21"/>
                <w:szCs w:val="21"/>
                <w:lang w:val="de-DE"/>
              </w:rPr>
              <w:t>经营范围</w:t>
            </w:r>
            <w:bookmarkStart w:id="1" w:name="审核范围"/>
            <w:r>
              <w:rPr>
                <w:rFonts w:hint="eastAsia" w:ascii="宋体" w:hAnsi="宋体"/>
                <w:sz w:val="21"/>
                <w:szCs w:val="21"/>
              </w:rPr>
              <w:t>锻造件</w:t>
            </w:r>
            <w:r>
              <w:rPr>
                <w:rFonts w:hint="eastAsia" w:ascii="宋体" w:hAnsi="宋体"/>
                <w:sz w:val="21"/>
                <w:szCs w:val="21"/>
                <w:lang w:eastAsia="zh-CN"/>
              </w:rPr>
              <w:t>（</w:t>
            </w:r>
            <w:r>
              <w:rPr>
                <w:rFonts w:hint="eastAsia" w:ascii="宋体" w:hAnsi="宋体"/>
                <w:sz w:val="21"/>
                <w:szCs w:val="21"/>
                <w:lang w:val="en-US" w:eastAsia="zh-CN"/>
              </w:rPr>
              <w:t>齿轮</w:t>
            </w:r>
            <w:r>
              <w:rPr>
                <w:rFonts w:hint="eastAsia" w:ascii="宋体" w:hAnsi="宋体"/>
                <w:sz w:val="21"/>
                <w:szCs w:val="21"/>
                <w:lang w:eastAsia="zh-CN"/>
              </w:rPr>
              <w:t>）</w:t>
            </w:r>
            <w:r>
              <w:rPr>
                <w:rFonts w:hint="eastAsia" w:ascii="宋体" w:hAnsi="宋体"/>
                <w:sz w:val="21"/>
                <w:szCs w:val="21"/>
              </w:rPr>
              <w:t>的生产</w:t>
            </w:r>
            <w:bookmarkEnd w:id="1"/>
            <w:r>
              <w:rPr>
                <w:rFonts w:hint="eastAsia" w:ascii="宋体" w:hAnsi="宋体"/>
                <w:spacing w:val="20"/>
                <w:sz w:val="21"/>
                <w:szCs w:val="21"/>
                <w:lang w:val="de-DE"/>
              </w:rPr>
              <w:t>。</w:t>
            </w:r>
          </w:p>
          <w:p>
            <w:pPr>
              <w:spacing w:line="360" w:lineRule="auto"/>
              <w:ind w:firstLine="500" w:firstLineChars="200"/>
              <w:rPr>
                <w:rFonts w:ascii="宋体"/>
                <w:sz w:val="21"/>
                <w:szCs w:val="21"/>
              </w:rPr>
            </w:pPr>
            <w:r>
              <w:rPr>
                <w:rFonts w:hint="eastAsia" w:ascii="宋体" w:hAnsi="宋体"/>
                <w:spacing w:val="20"/>
                <w:sz w:val="21"/>
                <w:szCs w:val="21"/>
                <w:lang w:val="de-DE"/>
              </w:rPr>
              <w:t>经营范围包括了认证范围内产品。</w:t>
            </w:r>
          </w:p>
        </w:tc>
        <w:tc>
          <w:tcPr>
            <w:tcW w:w="1585" w:type="dxa"/>
          </w:tcPr>
          <w:p>
            <w:pP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领导作用和承诺、组织的岗位职责和权限</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1"/>
              </w:rPr>
              <w:t>管代</w:t>
            </w:r>
            <w:r>
              <w:rPr>
                <w:rFonts w:hint="eastAsia" w:ascii="宋体" w:hAnsi="宋体"/>
                <w:sz w:val="21"/>
                <w:szCs w:val="21"/>
                <w:lang w:val="en-US" w:eastAsia="zh-CN"/>
              </w:rPr>
              <w:t>朱莉莉</w:t>
            </w:r>
            <w:r>
              <w:rPr>
                <w:rFonts w:hint="eastAsia" w:ascii="宋体" w:hAnsi="宋体"/>
                <w:szCs w:val="24"/>
              </w:rPr>
              <w:t>介绍，公司管理体系运行已满</w:t>
            </w:r>
            <w:r>
              <w:rPr>
                <w:rFonts w:hint="eastAsia" w:ascii="宋体" w:hAnsi="宋体"/>
                <w:szCs w:val="24"/>
                <w:lang w:val="en-US" w:eastAsia="zh-CN"/>
              </w:rPr>
              <w:t>6</w:t>
            </w:r>
            <w:r>
              <w:rPr>
                <w:rFonts w:hint="eastAsia" w:ascii="宋体" w:hAnsi="宋体"/>
                <w:szCs w:val="24"/>
              </w:rPr>
              <w:t>个多月。对部门及其职责进行了规定，设有</w:t>
            </w:r>
            <w:r>
              <w:rPr>
                <w:rFonts w:hint="eastAsia" w:ascii="宋体" w:hAnsi="宋体"/>
                <w:szCs w:val="24"/>
                <w:lang w:val="en-US" w:eastAsia="zh-CN"/>
              </w:rPr>
              <w:t>行政部、业务部、品质部</w:t>
            </w:r>
            <w:r>
              <w:rPr>
                <w:rFonts w:hint="eastAsia" w:ascii="宋体" w:hAnsi="宋体"/>
                <w:szCs w:val="24"/>
              </w:rPr>
              <w:t>、生产部，编制了岗位职责汇编，以文件上发的形式沟通各部门的职责及各部门之间工作的联系。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w:t>
            </w:r>
            <w:r>
              <w:rPr>
                <w:rFonts w:hint="eastAsia" w:ascii="宋体" w:hAnsi="宋体"/>
                <w:szCs w:val="24"/>
                <w:lang w:val="en-US" w:eastAsia="zh-CN"/>
              </w:rPr>
              <w:t>郭会军</w:t>
            </w:r>
            <w:r>
              <w:rPr>
                <w:rFonts w:hint="eastAsia" w:ascii="宋体" w:hAnsi="宋体"/>
                <w:szCs w:val="24"/>
              </w:rPr>
              <w:t>，主要负责公司全面工作，</w:t>
            </w:r>
            <w:r>
              <w:rPr>
                <w:rFonts w:hint="eastAsia" w:ascii="宋体" w:hAnsi="宋体"/>
                <w:color w:val="000000"/>
                <w:szCs w:val="24"/>
              </w:rPr>
              <w:t>日常主要侧重于公司财务及市场工作，根据体系的要求，负责组织制定方针、目标，管理评审等工作；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w:t>
            </w:r>
            <w:r>
              <w:rPr>
                <w:rFonts w:hint="eastAsia" w:ascii="宋体" w:hAnsi="宋体"/>
                <w:sz w:val="21"/>
                <w:szCs w:val="21"/>
                <w:lang w:val="en-US" w:eastAsia="zh-CN"/>
              </w:rPr>
              <w:t>朱莉莉</w:t>
            </w:r>
            <w:r>
              <w:rPr>
                <w:rFonts w:hint="eastAsia" w:ascii="宋体" w:hAnsi="宋体"/>
                <w:szCs w:val="24"/>
              </w:rPr>
              <w:t>，主要负责公司行政及体系工作。</w:t>
            </w:r>
          </w:p>
          <w:p>
            <w:pPr>
              <w:spacing w:line="360" w:lineRule="auto"/>
              <w:rPr>
                <w:rFonts w:ascii="宋体"/>
                <w:szCs w:val="24"/>
              </w:rPr>
            </w:pPr>
            <w:r>
              <w:rPr>
                <w:rFonts w:ascii="宋体" w:hAnsi="宋体"/>
                <w:szCs w:val="24"/>
              </w:rPr>
              <w:t>1</w:t>
            </w:r>
            <w:r>
              <w:rPr>
                <w:rFonts w:hint="eastAsia" w:ascii="宋体" w:hAnsi="宋体"/>
                <w:szCs w:val="24"/>
              </w:rPr>
              <w:t>、确保本公司</w:t>
            </w:r>
            <w:r>
              <w:rPr>
                <w:rFonts w:hint="eastAsia" w:ascii="宋体" w:hAnsi="宋体"/>
                <w:szCs w:val="24"/>
                <w:lang w:val="en-US" w:eastAsia="zh-CN"/>
              </w:rPr>
              <w:t>环境管理</w:t>
            </w:r>
            <w:r>
              <w:rPr>
                <w:rFonts w:hint="eastAsia" w:ascii="宋体" w:hAnsi="宋体"/>
                <w:szCs w:val="24"/>
              </w:rPr>
              <w:t>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、在全公司范围内促进满足顾客要求意识、环境保护意识的形成和提高；就体系有关事宜对外联系。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总经理主持建立了环境管理体系，对管理体系的运行和保持进行了适当的授权，提供了必需的资源，能履行其管理承诺。</w:t>
            </w:r>
          </w:p>
          <w:p>
            <w:pPr>
              <w:spacing w:line="360" w:lineRule="auto"/>
              <w:ind w:firstLine="420" w:firstLineChars="200"/>
              <w:rPr>
                <w:rFonts w:ascii="宋体"/>
                <w:szCs w:val="24"/>
              </w:rPr>
            </w:pPr>
            <w:r>
              <w:rPr>
                <w:rFonts w:hint="eastAsia" w:ascii="宋体" w:hAnsi="宋体"/>
                <w:szCs w:val="24"/>
              </w:rPr>
              <w:t>经交流总经理和管代熟悉管理体系的基本运行情况，比较重视体系建设。</w:t>
            </w:r>
          </w:p>
          <w:p>
            <w:pPr>
              <w:spacing w:line="360" w:lineRule="auto"/>
              <w:ind w:firstLine="420" w:firstLineChars="200"/>
              <w:rPr>
                <w:rFonts w:ascii="宋体"/>
                <w:szCs w:val="24"/>
              </w:rPr>
            </w:pPr>
            <w:r>
              <w:rPr>
                <w:rFonts w:hint="eastAsia" w:ascii="宋体" w:hAnsi="宋体"/>
                <w:szCs w:val="24"/>
              </w:rPr>
              <w:t>组织从</w:t>
            </w:r>
            <w:r>
              <w:rPr>
                <w:rFonts w:ascii="宋体" w:hAnsi="宋体"/>
                <w:szCs w:val="24"/>
              </w:rPr>
              <w:t>2019</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月开始运行</w:t>
            </w:r>
            <w:r>
              <w:rPr>
                <w:rFonts w:hint="eastAsia" w:ascii="宋体" w:hAnsi="宋体"/>
                <w:szCs w:val="24"/>
                <w:lang w:val="en-US" w:eastAsia="zh-CN"/>
              </w:rPr>
              <w:t>环境管理</w:t>
            </w:r>
            <w:r>
              <w:rPr>
                <w:rFonts w:hint="eastAsia" w:ascii="宋体" w:hAnsi="宋体"/>
                <w:szCs w:val="24"/>
              </w:rPr>
              <w:t>体系，组织了内审员培训，识别了生产的过程及其相互关系，企业提供编号：</w:t>
            </w:r>
            <w:r>
              <w:rPr>
                <w:rFonts w:hint="eastAsia" w:ascii="宋体" w:hAnsi="宋体"/>
                <w:szCs w:val="24"/>
                <w:lang w:val="en-US" w:eastAsia="zh-CN"/>
              </w:rPr>
              <w:t>ES/RY-2019</w:t>
            </w:r>
            <w:r>
              <w:rPr>
                <w:rFonts w:hint="eastAsia" w:ascii="宋体" w:hAnsi="宋体"/>
                <w:szCs w:val="24"/>
              </w:rPr>
              <w:t>《管理手册》，依据</w:t>
            </w:r>
            <w:r>
              <w:rPr>
                <w:rFonts w:ascii="宋体" w:hAnsi="宋体"/>
                <w:szCs w:val="24"/>
              </w:rPr>
              <w:t>IS014001:2015</w:t>
            </w:r>
            <w:r>
              <w:rPr>
                <w:rFonts w:hint="eastAsia" w:ascii="宋体" w:hAnsi="宋体"/>
                <w:szCs w:val="24"/>
              </w:rPr>
              <w:t>标准</w:t>
            </w:r>
            <w:r>
              <w:rPr>
                <w:rFonts w:hint="eastAsia" w:ascii="宋体" w:hAnsi="宋体"/>
                <w:szCs w:val="24"/>
                <w:lang w:eastAsia="zh-CN"/>
              </w:rPr>
              <w:t>，</w:t>
            </w:r>
            <w:r>
              <w:rPr>
                <w:rFonts w:ascii="宋体" w:hAnsi="宋体"/>
                <w:szCs w:val="24"/>
              </w:rPr>
              <w:t>2019.</w:t>
            </w:r>
            <w:r>
              <w:rPr>
                <w:rFonts w:hint="eastAsia" w:ascii="宋体" w:hAnsi="宋体"/>
                <w:szCs w:val="24"/>
                <w:lang w:val="en-US" w:eastAsia="zh-CN"/>
              </w:rPr>
              <w:t>5</w:t>
            </w:r>
            <w:r>
              <w:rPr>
                <w:rFonts w:ascii="宋体" w:hAnsi="宋体"/>
                <w:szCs w:val="24"/>
              </w:rPr>
              <w:t>.2</w:t>
            </w:r>
            <w:r>
              <w:rPr>
                <w:rFonts w:hint="eastAsia" w:ascii="宋体" w:hAnsi="宋体"/>
                <w:szCs w:val="24"/>
                <w:lang w:val="en-US" w:eastAsia="zh-CN"/>
              </w:rPr>
              <w:t>1</w:t>
            </w:r>
            <w:r>
              <w:rPr>
                <w:rFonts w:hint="eastAsia" w:ascii="宋体" w:hAnsi="宋体"/>
                <w:szCs w:val="24"/>
              </w:rPr>
              <w:t>发布，</w:t>
            </w:r>
            <w:r>
              <w:rPr>
                <w:rFonts w:ascii="宋体" w:hAnsi="宋体"/>
                <w:szCs w:val="24"/>
              </w:rPr>
              <w:t>2019.</w:t>
            </w:r>
            <w:r>
              <w:rPr>
                <w:rFonts w:hint="eastAsia" w:ascii="宋体" w:hAnsi="宋体"/>
                <w:szCs w:val="24"/>
                <w:lang w:val="en-US" w:eastAsia="zh-CN"/>
              </w:rPr>
              <w:t>5</w:t>
            </w:r>
            <w:r>
              <w:rPr>
                <w:rFonts w:ascii="宋体" w:hAnsi="宋体"/>
                <w:szCs w:val="24"/>
              </w:rPr>
              <w:t>.2</w:t>
            </w:r>
            <w:r>
              <w:rPr>
                <w:rFonts w:hint="eastAsia" w:ascii="宋体" w:hAnsi="宋体"/>
                <w:szCs w:val="24"/>
                <w:lang w:val="en-US" w:eastAsia="zh-CN"/>
              </w:rPr>
              <w:t>1</w:t>
            </w:r>
            <w:r>
              <w:rPr>
                <w:rFonts w:hint="eastAsia" w:ascii="宋体" w:hAnsi="宋体"/>
                <w:szCs w:val="24"/>
              </w:rPr>
              <w:t>实施；总经理</w:t>
            </w:r>
            <w:r>
              <w:rPr>
                <w:rFonts w:hint="eastAsia" w:ascii="宋体" w:hAnsi="宋体"/>
                <w:szCs w:val="24"/>
                <w:lang w:val="en-US" w:eastAsia="zh-CN"/>
              </w:rPr>
              <w:t>郭会军</w:t>
            </w:r>
            <w:r>
              <w:rPr>
                <w:rFonts w:hint="eastAsia" w:ascii="宋体" w:hAnsi="宋体"/>
                <w:szCs w:val="24"/>
              </w:rPr>
              <w:t>批准。任命管代：</w:t>
            </w:r>
            <w:r>
              <w:rPr>
                <w:rFonts w:hint="eastAsia" w:ascii="宋体" w:hAnsi="宋体"/>
                <w:szCs w:val="21"/>
                <w:lang w:val="en-US" w:eastAsia="zh-CN"/>
              </w:rPr>
              <w:t>朱莉莉</w:t>
            </w:r>
            <w:r>
              <w:rPr>
                <w:rFonts w:hint="eastAsia" w:ascii="宋体" w:hAnsi="宋体"/>
                <w:szCs w:val="24"/>
              </w:rPr>
              <w:t>；现有手册从发布实施以来已经运行</w:t>
            </w:r>
            <w:r>
              <w:rPr>
                <w:rFonts w:ascii="宋体" w:hAnsi="宋体"/>
                <w:szCs w:val="24"/>
              </w:rPr>
              <w:t xml:space="preserve"> </w:t>
            </w:r>
            <w:r>
              <w:rPr>
                <w:rFonts w:hint="eastAsia" w:ascii="宋体" w:hAnsi="宋体"/>
                <w:szCs w:val="24"/>
                <w:lang w:val="en-US" w:eastAsia="zh-CN"/>
              </w:rPr>
              <w:t>6</w:t>
            </w:r>
            <w:r>
              <w:rPr>
                <w:rFonts w:hint="eastAsia" w:ascii="宋体" w:hAnsi="宋体"/>
                <w:szCs w:val="24"/>
              </w:rPr>
              <w:t>个月以上。</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ascii="宋体"/>
                <w:b/>
                <w:szCs w:val="24"/>
              </w:rPr>
            </w:pPr>
            <w:r>
              <w:rPr>
                <w:rFonts w:hint="eastAsia" w:ascii="宋体" w:hAnsi="宋体"/>
                <w:szCs w:val="24"/>
              </w:rPr>
              <w:t>理解组织及其环境</w:t>
            </w:r>
          </w:p>
        </w:tc>
        <w:tc>
          <w:tcPr>
            <w:tcW w:w="1311" w:type="dxa"/>
            <w:vAlign w:val="center"/>
          </w:tcPr>
          <w:p>
            <w:pPr>
              <w:rPr>
                <w:rFonts w:ascii="宋体"/>
                <w:b/>
                <w:szCs w:val="24"/>
              </w:rPr>
            </w:pPr>
            <w:r>
              <w:rPr>
                <w:rFonts w:ascii="宋体" w:hAnsi="宋体"/>
                <w:szCs w:val="24"/>
              </w:rPr>
              <w:t>E</w:t>
            </w:r>
            <w:r>
              <w:rPr>
                <w:rFonts w:hint="eastAsia" w:ascii="宋体" w:hAnsi="宋体"/>
                <w:szCs w:val="24"/>
              </w:rPr>
              <w:t>：</w:t>
            </w: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szCs w:val="24"/>
                <w:lang w:val="en-US" w:eastAsia="zh-CN"/>
              </w:rPr>
              <w:t>ES/RY</w:t>
            </w:r>
            <w:r>
              <w:rPr>
                <w:rFonts w:ascii="宋体" w:hAnsi="宋体"/>
                <w:szCs w:val="21"/>
              </w:rPr>
              <w:t>-2019</w:t>
            </w:r>
            <w:r>
              <w:rPr>
                <w:rFonts w:hint="eastAsia" w:ascii="宋体" w:hAnsi="宋体"/>
                <w:color w:val="000000"/>
                <w:szCs w:val="21"/>
              </w:rPr>
              <w:t>》</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ascii="宋体"/>
                <w:color w:val="000000"/>
                <w:szCs w:val="24"/>
              </w:rPr>
            </w:pPr>
            <w:r>
              <w:rPr>
                <w:rFonts w:hint="eastAsia" w:ascii="宋体" w:hAnsi="宋体"/>
                <w:color w:val="000000"/>
                <w:szCs w:val="24"/>
              </w:rPr>
              <w:t>与总经理</w:t>
            </w:r>
            <w:r>
              <w:rPr>
                <w:rFonts w:hint="eastAsia" w:ascii="宋体" w:hAnsi="宋体"/>
                <w:szCs w:val="21"/>
                <w:lang w:val="en-US" w:eastAsia="zh-CN"/>
              </w:rPr>
              <w:t>郭会军</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沟通，简单介绍了公司发展历程、公司文化的形成与发展、长短期发展目标、价值观的沟通，并对如何创造公司良好的内部环境提出要求，对公司目前所处的外部环境也做了简单分析。公司介绍，销售的产品在</w:t>
            </w:r>
            <w:r>
              <w:rPr>
                <w:rFonts w:hint="eastAsia" w:ascii="宋体" w:hAnsi="宋体"/>
                <w:color w:val="000000"/>
                <w:szCs w:val="24"/>
                <w:lang w:val="en-US" w:eastAsia="zh-CN"/>
              </w:rPr>
              <w:t>陕西</w:t>
            </w:r>
            <w:r>
              <w:rPr>
                <w:rFonts w:hint="eastAsia" w:ascii="宋体" w:hAnsi="宋体"/>
                <w:color w:val="000000"/>
                <w:szCs w:val="24"/>
              </w:rPr>
              <w:t>居于领先地位，在行业内占据一定市场地位。</w:t>
            </w:r>
          </w:p>
          <w:p>
            <w:pPr>
              <w:spacing w:line="360" w:lineRule="auto"/>
              <w:ind w:firstLine="420" w:firstLineChars="200"/>
              <w:rPr>
                <w:rFonts w:ascii="宋体"/>
                <w:szCs w:val="24"/>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b/>
                <w:szCs w:val="24"/>
              </w:rPr>
            </w:pPr>
            <w:r>
              <w:rPr>
                <w:rFonts w:hint="eastAsia" w:ascii="宋体" w:hAnsi="宋体"/>
                <w:szCs w:val="24"/>
              </w:rPr>
              <w:t>理解相关方的需求和期望</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4.2</w:t>
            </w:r>
          </w:p>
        </w:tc>
        <w:tc>
          <w:tcPr>
            <w:tcW w:w="10004" w:type="dxa"/>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szCs w:val="24"/>
              </w:rPr>
            </w:pPr>
            <w:r>
              <w:rPr>
                <w:rFonts w:hint="eastAsia" w:ascii="宋体" w:hAnsi="宋体"/>
                <w:szCs w:val="24"/>
              </w:rPr>
              <w:t>基本识别了与组织管理体系有关的相关方和要求</w:t>
            </w:r>
            <w:r>
              <w:rPr>
                <w:rFonts w:hint="eastAsia" w:ascii="宋体" w:hAnsi="宋体"/>
                <w:szCs w:val="24"/>
                <w:lang w:val="zh-CN"/>
              </w:rPr>
              <w:t>。</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ascii="宋体"/>
                <w:szCs w:val="24"/>
              </w:rPr>
            </w:pPr>
            <w:r>
              <w:rPr>
                <w:rFonts w:hint="eastAsia" w:ascii="宋体" w:hAnsi="宋体"/>
                <w:szCs w:val="24"/>
              </w:rPr>
              <w:t>环境管理体系的范围</w:t>
            </w:r>
          </w:p>
        </w:tc>
        <w:tc>
          <w:tcPr>
            <w:tcW w:w="1311" w:type="dxa"/>
            <w:vAlign w:val="center"/>
          </w:tcPr>
          <w:p>
            <w:pPr>
              <w:spacing w:line="360" w:lineRule="auto"/>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4.3 </w:t>
            </w:r>
          </w:p>
        </w:tc>
        <w:tc>
          <w:tcPr>
            <w:tcW w:w="10004" w:type="dxa"/>
            <w:vAlign w:val="center"/>
          </w:tcPr>
          <w:p>
            <w:pPr>
              <w:spacing w:line="360" w:lineRule="auto"/>
              <w:jc w:val="left"/>
              <w:rPr>
                <w:rFonts w:ascii="宋体"/>
                <w:szCs w:val="24"/>
              </w:rPr>
            </w:pPr>
            <w:r>
              <w:rPr>
                <w:rFonts w:hint="eastAsia" w:ascii="宋体" w:hAnsi="宋体"/>
                <w:szCs w:val="24"/>
              </w:rPr>
              <w:t>经确认企业的管理体系范围是：</w:t>
            </w:r>
          </w:p>
          <w:p>
            <w:pPr>
              <w:spacing w:line="360" w:lineRule="auto"/>
              <w:rPr>
                <w:rFonts w:ascii="宋体"/>
                <w:szCs w:val="24"/>
              </w:rPr>
            </w:pPr>
            <w:r>
              <w:rPr>
                <w:rFonts w:ascii="宋体" w:hAnsi="宋体"/>
                <w:szCs w:val="24"/>
              </w:rPr>
              <w:t xml:space="preserve">EMS: </w:t>
            </w:r>
            <w:r>
              <w:rPr>
                <w:rFonts w:hint="eastAsia" w:ascii="宋体" w:hAnsi="宋体"/>
                <w:sz w:val="21"/>
                <w:szCs w:val="21"/>
              </w:rPr>
              <w:t>锻造件</w:t>
            </w:r>
            <w:r>
              <w:rPr>
                <w:rFonts w:hint="eastAsia" w:ascii="宋体" w:hAnsi="宋体"/>
                <w:sz w:val="21"/>
                <w:szCs w:val="21"/>
                <w:lang w:eastAsia="zh-CN"/>
              </w:rPr>
              <w:t>（</w:t>
            </w:r>
            <w:r>
              <w:rPr>
                <w:rFonts w:hint="eastAsia" w:ascii="宋体" w:hAnsi="宋体"/>
                <w:sz w:val="21"/>
                <w:szCs w:val="21"/>
                <w:lang w:val="en-US" w:eastAsia="zh-CN"/>
              </w:rPr>
              <w:t>齿轮</w:t>
            </w:r>
            <w:r>
              <w:rPr>
                <w:rFonts w:hint="eastAsia" w:ascii="宋体" w:hAnsi="宋体"/>
                <w:sz w:val="21"/>
                <w:szCs w:val="21"/>
                <w:lang w:eastAsia="zh-CN"/>
              </w:rPr>
              <w:t>）</w:t>
            </w:r>
            <w:r>
              <w:rPr>
                <w:rFonts w:hint="eastAsia" w:ascii="宋体" w:hAnsi="宋体"/>
                <w:sz w:val="21"/>
                <w:szCs w:val="21"/>
              </w:rPr>
              <w:t>的生产</w:t>
            </w:r>
            <w:r>
              <w:rPr>
                <w:rFonts w:hint="eastAsia" w:ascii="宋体" w:hAnsi="宋体"/>
                <w:szCs w:val="21"/>
              </w:rPr>
              <w:t>及相关环境管理活动</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环境管理体系及其过程</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4.4  </w:t>
            </w:r>
          </w:p>
        </w:tc>
        <w:tc>
          <w:tcPr>
            <w:tcW w:w="10004" w:type="dxa"/>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GB/T24001-2016 </w:t>
            </w:r>
            <w:r>
              <w:rPr>
                <w:rFonts w:hint="eastAsia" w:ascii="宋体" w:hAnsi="宋体"/>
                <w:szCs w:val="24"/>
              </w:rPr>
              <w:t>标准的要求识别了环境管理所需的过程及相互作用，识别了环境管理体系涉及的各个过程：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w:t>
            </w:r>
            <w:r>
              <w:rPr>
                <w:rFonts w:hint="eastAsia" w:ascii="宋体" w:hAnsi="宋体"/>
                <w:szCs w:val="24"/>
                <w:lang w:val="en-US" w:eastAsia="zh-CN"/>
              </w:rPr>
              <w:t>环境</w:t>
            </w:r>
            <w:r>
              <w:rPr>
                <w:rFonts w:hint="eastAsia" w:ascii="宋体" w:hAnsi="宋体"/>
                <w:szCs w:val="24"/>
              </w:rPr>
              <w:t>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公司通过绩效评价、内部审核、管理评审等以期对环境管理管理体系得到改进。</w:t>
            </w:r>
          </w:p>
          <w:p>
            <w:pPr>
              <w:spacing w:line="360" w:lineRule="auto"/>
              <w:ind w:firstLine="420" w:firstLineChars="200"/>
              <w:rPr>
                <w:rFonts w:ascii="宋体"/>
                <w:szCs w:val="24"/>
              </w:rPr>
            </w:pPr>
            <w:r>
              <w:rPr>
                <w:rFonts w:hint="eastAsia" w:ascii="宋体" w:hAnsi="宋体"/>
                <w:szCs w:val="24"/>
              </w:rPr>
              <w:t>公司按照标准建立了文件化的环境管理体系，编制了环境</w:t>
            </w:r>
            <w:r>
              <w:rPr>
                <w:rFonts w:hint="eastAsia" w:ascii="宋体" w:hAnsi="宋体"/>
                <w:szCs w:val="24"/>
                <w:lang w:val="en-US" w:eastAsia="zh-CN"/>
              </w:rPr>
              <w:t>管理</w:t>
            </w:r>
            <w:r>
              <w:rPr>
                <w:rFonts w:hint="eastAsia" w:ascii="宋体" w:hAnsi="宋体"/>
                <w:szCs w:val="24"/>
              </w:rPr>
              <w:t>手册，流程性文件、管理制度、作业指导书、检验规程等；并对各个过程的监控进行了记录，形成了相关文件化信息，为过程运行提供了支持，以证实过程按照策划执行。</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方针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5.2 </w:t>
            </w:r>
          </w:p>
        </w:tc>
        <w:tc>
          <w:tcPr>
            <w:tcW w:w="10004" w:type="dxa"/>
            <w:vAlign w:val="center"/>
          </w:tcPr>
          <w:p>
            <w:pPr>
              <w:spacing w:line="360" w:lineRule="auto"/>
              <w:rPr>
                <w:rFonts w:ascii="宋体"/>
                <w:szCs w:val="24"/>
              </w:rPr>
            </w:pPr>
            <w:r>
              <w:rPr>
                <w:rFonts w:hint="eastAsia" w:ascii="宋体" w:hAnsi="宋体"/>
                <w:szCs w:val="24"/>
              </w:rPr>
              <w:t>企业已经制定环境方针，具体包含在《管理手册》，公司的环境方针是：</w:t>
            </w:r>
          </w:p>
          <w:p>
            <w:pPr>
              <w:spacing w:line="360" w:lineRule="auto"/>
              <w:rPr>
                <w:rFonts w:hint="default" w:ascii="宋体" w:hAnsi="宋体"/>
                <w:spacing w:val="20"/>
                <w:szCs w:val="21"/>
                <w:lang w:val="en-US" w:eastAsia="zh-CN"/>
              </w:rPr>
            </w:pPr>
            <w:r>
              <w:rPr>
                <w:rFonts w:hint="eastAsia" w:ascii="宋体" w:hAnsi="宋体"/>
                <w:spacing w:val="20"/>
                <w:szCs w:val="21"/>
                <w:lang w:val="en-US" w:eastAsia="zh-CN"/>
              </w:rPr>
              <w:t>让环保扎根此刻  用绿色昭示未来</w:t>
            </w:r>
          </w:p>
          <w:p>
            <w:pPr>
              <w:spacing w:line="360" w:lineRule="auto"/>
              <w:rPr>
                <w:rFonts w:ascii="宋体"/>
                <w:szCs w:val="24"/>
              </w:rPr>
            </w:pPr>
            <w:r>
              <w:rPr>
                <w:rFonts w:hint="eastAsia" w:ascii="宋体" w:hAnsi="宋体"/>
                <w:szCs w:val="24"/>
              </w:rPr>
              <w:t>查领导层参与制定管理体系方针的情况，是否熟悉组织的管理体系方针内容、含义：</w:t>
            </w:r>
          </w:p>
          <w:p>
            <w:pPr>
              <w:spacing w:line="360" w:lineRule="auto"/>
              <w:rPr>
                <w:rFonts w:ascii="宋体"/>
                <w:szCs w:val="24"/>
              </w:rPr>
            </w:pPr>
            <w:r>
              <w:rPr>
                <w:rFonts w:hint="eastAsia" w:ascii="宋体" w:hAnsi="宋体"/>
                <w:szCs w:val="24"/>
              </w:rPr>
              <w:t>总经理</w:t>
            </w:r>
            <w:r>
              <w:rPr>
                <w:rFonts w:ascii="宋体" w:hAnsi="宋体"/>
                <w:szCs w:val="24"/>
              </w:rPr>
              <w:t>:</w:t>
            </w:r>
            <w:r>
              <w:rPr>
                <w:rFonts w:hint="eastAsia" w:ascii="宋体" w:hAnsi="宋体"/>
                <w:szCs w:val="24"/>
                <w:lang w:val="en-US" w:eastAsia="zh-CN"/>
              </w:rPr>
              <w:t>郭会军</w:t>
            </w:r>
            <w:r>
              <w:rPr>
                <w:rFonts w:hint="eastAsia" w:ascii="宋体" w:hAnsi="宋体"/>
                <w:szCs w:val="24"/>
              </w:rPr>
              <w:t>；管代：</w:t>
            </w:r>
            <w:r>
              <w:rPr>
                <w:rFonts w:hint="eastAsia" w:ascii="宋体" w:hAnsi="宋体"/>
                <w:szCs w:val="21"/>
                <w:lang w:val="en-US" w:eastAsia="zh-CN"/>
              </w:rPr>
              <w:t>朱莉莉</w:t>
            </w:r>
            <w:r>
              <w:rPr>
                <w:rFonts w:hint="eastAsia" w:ascii="宋体" w:hAnsi="宋体"/>
                <w:szCs w:val="24"/>
              </w:rPr>
              <w:t>，按照标准要求制订的方针，并介绍了方针的含义，对体系知识的学习还需加强。管理评审对环境方针的适宜性作了评审，判定适宜，适合公司的发展需求。环境方针符合标准要求。</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rFonts w:ascii="宋体"/>
                <w:szCs w:val="24"/>
              </w:rPr>
            </w:pPr>
            <w:r>
              <w:rPr>
                <w:rFonts w:hint="eastAsia" w:ascii="宋体" w:hAnsi="宋体"/>
                <w:szCs w:val="24"/>
              </w:rPr>
              <w:t>组织的角色、职责和权限</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据总经理介绍，一共为体系的建立实施和改进投入了各种资源、资金等约</w:t>
            </w:r>
            <w:r>
              <w:rPr>
                <w:rFonts w:hint="eastAsia" w:ascii="宋体" w:hAnsi="宋体"/>
                <w:color w:val="000000"/>
                <w:szCs w:val="24"/>
                <w:lang w:val="en-US" w:eastAsia="zh-CN"/>
              </w:rPr>
              <w:t>3</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应对风险和机会的措施</w:t>
            </w:r>
          </w:p>
        </w:tc>
        <w:tc>
          <w:tcPr>
            <w:tcW w:w="1311" w:type="dxa"/>
            <w:vAlign w:val="center"/>
          </w:tcPr>
          <w:p>
            <w:pPr>
              <w:rPr>
                <w:rFonts w:ascii="宋体" w:hAnsi="宋体"/>
                <w:szCs w:val="24"/>
              </w:rPr>
            </w:pP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 6.1.1</w:t>
            </w:r>
          </w:p>
        </w:tc>
        <w:tc>
          <w:tcPr>
            <w:tcW w:w="10004" w:type="dxa"/>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风险、机遇：从客户开发、合同评审、产品交付、领导作用、信息交流、采购管理、仓库管理等方面进行分析评估。从严重程度、发生概率、可探测性、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szCs w:val="24"/>
              </w:rPr>
            </w:pPr>
            <w:r>
              <w:rPr>
                <w:rFonts w:hint="eastAsia" w:ascii="宋体" w:hAnsi="宋体"/>
                <w:szCs w:val="24"/>
              </w:rPr>
              <w:t>应对措施：与风险、机遇相适应。</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目标和措施计划（管理方案）</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6.2  </w:t>
            </w:r>
          </w:p>
        </w:tc>
        <w:tc>
          <w:tcPr>
            <w:tcW w:w="10004" w:type="dxa"/>
            <w:vAlign w:val="center"/>
          </w:tcPr>
          <w:p>
            <w:pPr>
              <w:spacing w:line="360" w:lineRule="auto"/>
              <w:ind w:firstLine="420" w:firstLineChars="200"/>
              <w:rPr>
                <w:rFonts w:ascii="宋体"/>
                <w:szCs w:val="24"/>
              </w:rPr>
            </w:pPr>
            <w:r>
              <w:rPr>
                <w:rFonts w:hint="eastAsia" w:ascii="宋体"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rPr>
                <w:rFonts w:ascii="宋体"/>
                <w:szCs w:val="24"/>
              </w:rPr>
            </w:pPr>
            <w:r>
              <w:rPr>
                <w:rFonts w:hint="eastAsia" w:ascii="宋体" w:hAnsi="宋体"/>
                <w:szCs w:val="24"/>
              </w:rPr>
              <w:t>环境目标：</w:t>
            </w:r>
          </w:p>
          <w:p>
            <w:pPr>
              <w:ind w:firstLine="500" w:firstLineChars="200"/>
              <w:rPr>
                <w:rFonts w:ascii="宋体"/>
                <w:szCs w:val="21"/>
              </w:rPr>
            </w:pPr>
            <w:r>
              <w:rPr>
                <w:rFonts w:hint="eastAsia" w:ascii="宋体" w:hAnsi="宋体"/>
                <w:spacing w:val="20"/>
                <w:szCs w:val="21"/>
                <w:lang w:val="en-US" w:eastAsia="zh-CN"/>
              </w:rPr>
              <w:t>重大环境污染事故为零</w:t>
            </w:r>
            <w:r>
              <w:rPr>
                <w:rFonts w:hint="eastAsia" w:ascii="宋体" w:hAnsi="宋体"/>
                <w:spacing w:val="20"/>
                <w:szCs w:val="21"/>
              </w:rPr>
              <w:t>；</w:t>
            </w:r>
          </w:p>
          <w:p>
            <w:pPr>
              <w:spacing w:line="400" w:lineRule="exact"/>
              <w:ind w:firstLine="420" w:firstLineChars="200"/>
              <w:rPr>
                <w:rFonts w:ascii="宋体" w:cs="HAAPML+o¨²¨¬?"/>
                <w:szCs w:val="21"/>
              </w:rPr>
            </w:pPr>
            <w:r>
              <w:rPr>
                <w:rFonts w:ascii="宋体" w:hAnsi="宋体" w:cs="HAAPML+o¨²¨¬?"/>
                <w:szCs w:val="21"/>
              </w:rPr>
              <w:t xml:space="preserve"> </w:t>
            </w:r>
            <w:r>
              <w:rPr>
                <w:rFonts w:hint="eastAsia" w:ascii="宋体" w:hAnsi="宋体" w:cs="HAAPML+o¨²¨¬?"/>
                <w:szCs w:val="21"/>
                <w:lang w:val="en-US" w:eastAsia="zh-CN"/>
              </w:rPr>
              <w:t>火灾事故为零</w:t>
            </w:r>
            <w:r>
              <w:rPr>
                <w:rFonts w:hint="eastAsia" w:ascii="宋体" w:hAnsi="宋体" w:cs="HAAPML+o¨²¨¬?"/>
                <w:szCs w:val="21"/>
              </w:rPr>
              <w:t>；</w:t>
            </w:r>
          </w:p>
          <w:p>
            <w:pPr>
              <w:spacing w:line="400" w:lineRule="exact"/>
              <w:ind w:firstLine="420" w:firstLineChars="200"/>
              <w:rPr>
                <w:rFonts w:ascii="宋体"/>
                <w:spacing w:val="20"/>
                <w:szCs w:val="21"/>
              </w:rPr>
            </w:pPr>
            <w:r>
              <w:rPr>
                <w:rFonts w:ascii="宋体" w:hAnsi="宋体"/>
                <w:szCs w:val="21"/>
              </w:rPr>
              <w:t xml:space="preserve"> </w:t>
            </w:r>
            <w:r>
              <w:rPr>
                <w:rFonts w:hint="eastAsia" w:ascii="宋体" w:hAnsi="宋体"/>
                <w:szCs w:val="21"/>
                <w:lang w:val="en-US" w:eastAsia="zh-CN"/>
              </w:rPr>
              <w:t>环境影响投诉次数为零</w:t>
            </w:r>
            <w:r>
              <w:rPr>
                <w:rFonts w:ascii="宋体"/>
                <w:szCs w:val="21"/>
              </w:rPr>
              <w:t>0</w:t>
            </w:r>
            <w:r>
              <w:rPr>
                <w:rFonts w:hint="eastAsia" w:ascii="宋体" w:hAnsi="宋体"/>
                <w:szCs w:val="21"/>
              </w:rPr>
              <w:t>；</w:t>
            </w:r>
          </w:p>
          <w:p>
            <w:pPr>
              <w:spacing w:line="400" w:lineRule="exact"/>
              <w:ind w:firstLine="420" w:firstLineChars="200"/>
              <w:rPr>
                <w:rFonts w:ascii="宋体"/>
                <w:spacing w:val="20"/>
                <w:szCs w:val="21"/>
              </w:rPr>
            </w:pPr>
            <w:r>
              <w:rPr>
                <w:rFonts w:hint="eastAsia" w:ascii="宋体" w:hAnsi="宋体"/>
                <w:color w:val="000000"/>
                <w:szCs w:val="21"/>
                <w:lang w:val="en-US" w:eastAsia="zh-CN"/>
              </w:rPr>
              <w:t>固体废弃物分类处理率为100%</w:t>
            </w:r>
            <w:r>
              <w:rPr>
                <w:rFonts w:hint="eastAsia" w:ascii="宋体" w:hAnsi="宋体"/>
                <w:spacing w:val="20"/>
                <w:szCs w:val="21"/>
              </w:rPr>
              <w:t>；</w:t>
            </w:r>
          </w:p>
          <w:p>
            <w:pPr>
              <w:spacing w:line="360" w:lineRule="auto"/>
              <w:ind w:firstLine="420" w:firstLineChars="200"/>
              <w:rPr>
                <w:rFonts w:ascii="宋体"/>
                <w:color w:val="000000"/>
                <w:szCs w:val="24"/>
              </w:rPr>
            </w:pPr>
            <w:r>
              <w:rPr>
                <w:rFonts w:hint="eastAsia" w:ascii="宋体" w:hAnsi="宋体"/>
                <w:szCs w:val="24"/>
              </w:rPr>
              <w:t>组织对公司环境目标、指标予以分解，并在相关职能层次部门建立分目标，查见《目标指标分解及措施表》</w:t>
            </w:r>
          </w:p>
          <w:tbl>
            <w:tblPr>
              <w:tblStyle w:val="5"/>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626"/>
              <w:gridCol w:w="2826"/>
              <w:gridCol w:w="2038"/>
              <w:gridCol w:w="1058"/>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部门</w:t>
                  </w:r>
                </w:p>
              </w:tc>
              <w:tc>
                <w:tcPr>
                  <w:tcW w:w="2626"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目标</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考核方式</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考核结果</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完成情况</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8" w:type="dxa"/>
                  <w:vMerge w:val="restart"/>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公司</w:t>
                  </w: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ascii="宋体" w:hAnsi="宋体"/>
                      <w:spacing w:val="20"/>
                      <w:szCs w:val="21"/>
                      <w:lang w:val="en-US" w:eastAsia="zh-CN"/>
                    </w:rPr>
                    <w:t>重大环境污染事故为零</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rFonts w:hint="default" w:eastAsia="宋体"/>
                      <w:szCs w:val="21"/>
                      <w:lang w:val="en-US" w:eastAsia="zh-CN"/>
                    </w:rPr>
                  </w:pPr>
                  <w:r>
                    <w:rPr>
                      <w:rFonts w:hint="eastAsia"/>
                      <w:szCs w:val="21"/>
                      <w:lang w:val="en-US" w:eastAsia="zh-CN"/>
                    </w:rPr>
                    <w:t>每年考核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eastAsia" w:eastAsia="宋体"/>
                      <w:szCs w:val="21"/>
                      <w:lang w:eastAsia="zh-CN"/>
                    </w:rPr>
                  </w:pPr>
                  <w:r>
                    <w:rPr>
                      <w:rFonts w:hint="eastAsia" w:ascii="宋体" w:hAnsi="宋体"/>
                      <w:color w:val="000000"/>
                      <w:szCs w:val="21"/>
                      <w:lang w:val="en-US" w:eastAsia="zh-CN"/>
                    </w:rPr>
                    <w:t>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rFonts w:hint="default" w:eastAsia="宋体"/>
                      <w:szCs w:val="21"/>
                      <w:lang w:val="en-US" w:eastAsia="zh-CN"/>
                    </w:rPr>
                  </w:pPr>
                  <w:r>
                    <w:rPr>
                      <w:rFonts w:hint="eastAsia"/>
                      <w:szCs w:val="21"/>
                      <w:lang w:val="en-US" w:eastAsia="zh-CN"/>
                    </w:rPr>
                    <w:t>2019.7.30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ascii="宋体" w:hAnsi="宋体" w:cs="HAAPML+o¨²¨¬?"/>
                      <w:szCs w:val="21"/>
                      <w:lang w:val="en-US" w:eastAsia="zh-CN"/>
                    </w:rPr>
                    <w:t>火灾事故为零</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每年考核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eastAsia" w:eastAsia="宋体"/>
                      <w:szCs w:val="21"/>
                      <w:lang w:eastAsia="zh-CN"/>
                    </w:rPr>
                  </w:pPr>
                  <w:r>
                    <w:rPr>
                      <w:rFonts w:hint="eastAsia" w:ascii="宋体" w:hAnsi="宋体"/>
                      <w:color w:val="000000"/>
                      <w:szCs w:val="21"/>
                      <w:lang w:val="en-US" w:eastAsia="zh-CN"/>
                    </w:rPr>
                    <w:t>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ascii="宋体" w:hAnsi="宋体"/>
                      <w:szCs w:val="21"/>
                      <w:lang w:val="en-US" w:eastAsia="zh-CN"/>
                    </w:rPr>
                    <w:t>环境影响投诉次数为零</w:t>
                  </w:r>
                  <w:r>
                    <w:rPr>
                      <w:rFonts w:ascii="宋体"/>
                      <w:szCs w:val="21"/>
                    </w:rPr>
                    <w:t>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每年考核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eastAsia" w:eastAsia="宋体"/>
                      <w:szCs w:val="21"/>
                      <w:lang w:eastAsia="zh-CN"/>
                    </w:rPr>
                  </w:pPr>
                  <w:r>
                    <w:rPr>
                      <w:rFonts w:hint="eastAsia" w:ascii="宋体" w:hAnsi="宋体"/>
                      <w:color w:val="000000"/>
                      <w:szCs w:val="21"/>
                      <w:lang w:val="en-US" w:eastAsia="zh-CN"/>
                    </w:rPr>
                    <w:t>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ascii="宋体"/>
                      <w:color w:val="000000"/>
                      <w:szCs w:val="21"/>
                    </w:rPr>
                  </w:pPr>
                  <w:r>
                    <w:rPr>
                      <w:rFonts w:hint="eastAsia" w:ascii="宋体" w:hAnsi="宋体"/>
                      <w:color w:val="000000"/>
                      <w:szCs w:val="21"/>
                      <w:lang w:val="en-US" w:eastAsia="zh-CN"/>
                    </w:rPr>
                    <w:t>固体废弃物分类处理率为100%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每年考核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default" w:ascii="宋体" w:eastAsia="宋体"/>
                      <w:color w:val="000000"/>
                      <w:szCs w:val="21"/>
                      <w:lang w:val="en-US" w:eastAsia="zh-CN"/>
                    </w:rPr>
                  </w:pPr>
                  <w:r>
                    <w:rPr>
                      <w:rFonts w:hint="eastAsia" w:ascii="宋体" w:hAnsi="宋体"/>
                      <w:color w:val="000000"/>
                      <w:szCs w:val="21"/>
                      <w:lang w:val="en-US" w:eastAsia="zh-CN"/>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restart"/>
                  <w:tcBorders>
                    <w:top w:val="single" w:color="auto" w:sz="4" w:space="0"/>
                    <w:left w:val="single" w:color="auto" w:sz="4" w:space="0"/>
                    <w:bottom w:val="single" w:color="auto" w:sz="4" w:space="0"/>
                    <w:right w:val="single" w:color="auto" w:sz="4" w:space="0"/>
                  </w:tcBorders>
                </w:tcPr>
                <w:p>
                  <w:pPr>
                    <w:spacing w:line="220" w:lineRule="exact"/>
                    <w:jc w:val="center"/>
                    <w:rPr>
                      <w:rFonts w:hint="default" w:eastAsia="宋体"/>
                      <w:szCs w:val="21"/>
                      <w:lang w:val="en-US" w:eastAsia="zh-CN"/>
                    </w:rPr>
                  </w:pPr>
                  <w:r>
                    <w:rPr>
                      <w:rFonts w:hint="eastAsia"/>
                      <w:szCs w:val="21"/>
                      <w:lang w:val="en-US" w:eastAsia="zh-CN"/>
                    </w:rPr>
                    <w:t>行政部</w:t>
                  </w: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培训计划有效执行</w:t>
                  </w:r>
                  <w:r>
                    <w:rPr>
                      <w:rFonts w:hint="eastAsia"/>
                      <w:szCs w:val="21"/>
                    </w:rPr>
                    <w:t>率达</w:t>
                  </w:r>
                  <w:r>
                    <w:rPr>
                      <w:szCs w:val="21"/>
                    </w:rPr>
                    <w:t>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szCs w:val="21"/>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ascii="宋体" w:hAnsi="宋体"/>
                      <w:color w:val="000000"/>
                      <w:szCs w:val="21"/>
                      <w:lang w:val="en-US" w:eastAsia="zh-CN"/>
                    </w:rPr>
                    <w:t>固体废弃物分类处理率为100%</w:t>
                  </w:r>
                  <w:r>
                    <w:rPr>
                      <w:szCs w:val="21"/>
                    </w:rPr>
                    <w:t xml:space="preserve"> </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szCs w:val="21"/>
                    </w:rPr>
                    <w:t xml:space="preserve">100% </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hint="default" w:eastAsia="宋体"/>
                      <w:szCs w:val="21"/>
                      <w:lang w:val="en-US" w:eastAsia="zh-CN"/>
                    </w:rPr>
                  </w:pPr>
                  <w:r>
                    <w:rPr>
                      <w:rFonts w:hint="eastAsia"/>
                      <w:szCs w:val="21"/>
                      <w:lang w:val="en-US" w:eastAsia="zh-CN"/>
                    </w:rPr>
                    <w:t>环保资金落实率90%以上</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default" w:eastAsia="宋体"/>
                      <w:szCs w:val="21"/>
                      <w:lang w:val="en-US" w:eastAsia="zh-CN"/>
                    </w:rPr>
                  </w:pPr>
                  <w:r>
                    <w:rPr>
                      <w:rFonts w:hint="eastAsia"/>
                      <w:szCs w:val="21"/>
                      <w:lang w:val="en-US" w:eastAsia="zh-CN"/>
                    </w:rPr>
                    <w:t>95%</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lang w:val="en-US" w:eastAsia="zh-CN"/>
                    </w:rPr>
                    <w:t>品质</w:t>
                  </w:r>
                  <w:r>
                    <w:rPr>
                      <w:rFonts w:hint="eastAsia"/>
                      <w:szCs w:val="21"/>
                    </w:rPr>
                    <w:t>部</w:t>
                  </w:r>
                </w:p>
              </w:tc>
              <w:tc>
                <w:tcPr>
                  <w:tcW w:w="2626" w:type="dxa"/>
                  <w:tcBorders>
                    <w:top w:val="single" w:color="auto" w:sz="4" w:space="0"/>
                    <w:left w:val="single" w:color="auto" w:sz="4" w:space="0"/>
                    <w:bottom w:val="single" w:color="auto" w:sz="4" w:space="0"/>
                    <w:right w:val="single" w:color="auto" w:sz="4" w:space="0"/>
                  </w:tcBorders>
                  <w:vAlign w:val="top"/>
                </w:tcPr>
                <w:p>
                  <w:pPr>
                    <w:spacing w:line="220" w:lineRule="exact"/>
                    <w:rPr>
                      <w:szCs w:val="21"/>
                    </w:rPr>
                  </w:pPr>
                  <w:r>
                    <w:rPr>
                      <w:rFonts w:hint="eastAsia" w:ascii="宋体" w:hAnsi="宋体"/>
                      <w:color w:val="000000"/>
                      <w:szCs w:val="21"/>
                      <w:lang w:val="en-US" w:eastAsia="zh-CN"/>
                    </w:rPr>
                    <w:t>固体废弃物分类处理率为100%</w:t>
                  </w:r>
                  <w:r>
                    <w:rPr>
                      <w:szCs w:val="21"/>
                    </w:rPr>
                    <w:t xml:space="preserve"> </w:t>
                  </w:r>
                </w:p>
              </w:tc>
              <w:tc>
                <w:tcPr>
                  <w:tcW w:w="2826" w:type="dxa"/>
                  <w:tcBorders>
                    <w:top w:val="single" w:color="auto" w:sz="4" w:space="0"/>
                    <w:left w:val="single" w:color="auto" w:sz="4" w:space="0"/>
                    <w:bottom w:val="single" w:color="auto" w:sz="4" w:space="0"/>
                    <w:right w:val="single" w:color="auto" w:sz="4" w:space="0"/>
                  </w:tcBorders>
                  <w:vAlign w:val="top"/>
                </w:tcPr>
                <w:p>
                  <w:pPr>
                    <w:spacing w:line="220" w:lineRule="exact"/>
                    <w:rPr>
                      <w:szCs w:val="21"/>
                    </w:rPr>
                  </w:pPr>
                  <w:r>
                    <w:rPr>
                      <w:rFonts w:hint="eastAsia"/>
                      <w:szCs w:val="21"/>
                      <w:lang w:val="en-US" w:eastAsia="zh-CN"/>
                    </w:rPr>
                    <w:t>半年考核</w:t>
                  </w:r>
                </w:p>
              </w:tc>
              <w:tc>
                <w:tcPr>
                  <w:tcW w:w="2038" w:type="dxa"/>
                  <w:tcBorders>
                    <w:top w:val="single" w:color="auto" w:sz="4" w:space="0"/>
                    <w:left w:val="single" w:color="auto" w:sz="4" w:space="0"/>
                    <w:bottom w:val="single" w:color="auto" w:sz="4" w:space="0"/>
                    <w:right w:val="single" w:color="auto" w:sz="4" w:space="0"/>
                  </w:tcBorders>
                  <w:vAlign w:val="top"/>
                </w:tcPr>
                <w:p>
                  <w:pPr>
                    <w:spacing w:line="220" w:lineRule="exact"/>
                    <w:rPr>
                      <w:szCs w:val="21"/>
                    </w:rPr>
                  </w:pPr>
                  <w:r>
                    <w:rPr>
                      <w:szCs w:val="21"/>
                    </w:rPr>
                    <w:t xml:space="preserve">100% </w:t>
                  </w:r>
                </w:p>
              </w:tc>
              <w:tc>
                <w:tcPr>
                  <w:tcW w:w="1058" w:type="dxa"/>
                  <w:tcBorders>
                    <w:top w:val="single" w:color="auto" w:sz="4" w:space="0"/>
                    <w:left w:val="single" w:color="auto" w:sz="4" w:space="0"/>
                    <w:bottom w:val="single" w:color="auto" w:sz="4" w:space="0"/>
                    <w:right w:val="single" w:color="auto" w:sz="4" w:space="0"/>
                  </w:tcBorders>
                  <w:vAlign w:val="top"/>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vAlign w:val="top"/>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8" w:type="dxa"/>
                  <w:vMerge w:val="restart"/>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lang w:val="en-US" w:eastAsia="zh-CN"/>
                    </w:rPr>
                    <w:t>业务</w:t>
                  </w:r>
                  <w:r>
                    <w:rPr>
                      <w:rFonts w:hint="eastAsia"/>
                      <w:szCs w:val="21"/>
                    </w:rPr>
                    <w:t>部</w:t>
                  </w: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ascii="宋体"/>
                      <w:color w:val="000000"/>
                      <w:szCs w:val="21"/>
                    </w:rPr>
                  </w:pPr>
                  <w:r>
                    <w:rPr>
                      <w:rFonts w:hint="eastAsia" w:ascii="宋体" w:hAnsi="宋体"/>
                      <w:color w:val="000000"/>
                      <w:szCs w:val="21"/>
                      <w:lang w:val="en-US" w:eastAsia="zh-CN"/>
                    </w:rPr>
                    <w:t>合同评审</w:t>
                  </w:r>
                  <w:r>
                    <w:rPr>
                      <w:rFonts w:hint="eastAsia" w:ascii="宋体" w:hAnsi="宋体"/>
                      <w:color w:val="000000"/>
                      <w:szCs w:val="21"/>
                    </w:rPr>
                    <w:t>率</w:t>
                  </w:r>
                  <w:r>
                    <w:rPr>
                      <w:rFonts w:ascii="宋体" w:hAnsi="宋体"/>
                      <w:color w:val="000000"/>
                      <w:szCs w:val="21"/>
                    </w:rPr>
                    <w:t>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ascii="宋体"/>
                      <w:color w:val="000000"/>
                      <w:szCs w:val="21"/>
                    </w:rPr>
                  </w:pPr>
                  <w:r>
                    <w:rPr>
                      <w:rFonts w:ascii="宋体" w:hAnsi="宋体"/>
                      <w:color w:val="000000"/>
                      <w:szCs w:val="21"/>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ind w:firstLine="105" w:firstLineChars="50"/>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bookmarkStart w:id="2" w:name="_Hlk512436523"/>
                </w:p>
              </w:tc>
              <w:tc>
                <w:tcPr>
                  <w:tcW w:w="2626" w:type="dxa"/>
                  <w:tcBorders>
                    <w:top w:val="single" w:color="auto" w:sz="4" w:space="0"/>
                    <w:left w:val="single" w:color="auto" w:sz="4" w:space="0"/>
                    <w:bottom w:val="single" w:color="auto" w:sz="4" w:space="0"/>
                    <w:right w:val="single" w:color="auto" w:sz="4" w:space="0"/>
                  </w:tcBorders>
                </w:tcPr>
                <w:p>
                  <w:pPr>
                    <w:autoSpaceDE w:val="0"/>
                    <w:autoSpaceDN w:val="0"/>
                    <w:spacing w:line="220" w:lineRule="exact"/>
                    <w:rPr>
                      <w:rFonts w:hint="default" w:ascii="宋体" w:eastAsia="宋体" w:cs="AdobeSongStd-Light"/>
                      <w:szCs w:val="21"/>
                      <w:lang w:val="en-US" w:eastAsia="zh-CN"/>
                    </w:rPr>
                  </w:pPr>
                  <w:r>
                    <w:rPr>
                      <w:rFonts w:hint="eastAsia" w:ascii="宋体" w:hAnsi="宋体" w:cs="AdobeSongStd-Light"/>
                      <w:szCs w:val="21"/>
                      <w:lang w:val="en-US" w:eastAsia="zh-CN"/>
                    </w:rPr>
                    <w:t>供应商、外包方考核评价率100%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tc>
              <w:tc>
                <w:tcPr>
                  <w:tcW w:w="2038" w:type="dxa"/>
                  <w:tcBorders>
                    <w:top w:val="single" w:color="auto" w:sz="4" w:space="0"/>
                    <w:left w:val="single" w:color="auto" w:sz="4" w:space="0"/>
                    <w:bottom w:val="single" w:color="auto" w:sz="4" w:space="0"/>
                    <w:right w:val="single" w:color="auto" w:sz="4" w:space="0"/>
                  </w:tcBorders>
                </w:tcPr>
                <w:p>
                  <w:pPr>
                    <w:autoSpaceDE w:val="0"/>
                    <w:autoSpaceDN w:val="0"/>
                    <w:spacing w:line="220" w:lineRule="exact"/>
                    <w:rPr>
                      <w:rFonts w:ascii="宋体" w:cs="AdobeSongStd-Light"/>
                      <w:szCs w:val="21"/>
                    </w:rPr>
                  </w:pPr>
                  <w:r>
                    <w:rPr>
                      <w:rFonts w:ascii="宋体" w:hAnsi="宋体" w:cs="AdobeSongStd-Light"/>
                      <w:szCs w:val="21"/>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autoSpaceDE w:val="0"/>
                    <w:autoSpaceDN w:val="0"/>
                    <w:spacing w:line="220" w:lineRule="exact"/>
                    <w:rPr>
                      <w:rFonts w:hint="default" w:ascii="宋体" w:eastAsia="宋体" w:cs="AdobeSongStd-Light"/>
                      <w:szCs w:val="21"/>
                      <w:lang w:val="en-US" w:eastAsia="zh-CN"/>
                    </w:rPr>
                  </w:pPr>
                  <w:r>
                    <w:rPr>
                      <w:rFonts w:hint="eastAsia" w:ascii="宋体" w:hAnsi="宋体" w:cs="AdobeSongStd-Light"/>
                      <w:szCs w:val="21"/>
                      <w:lang w:val="en-US" w:eastAsia="zh-CN"/>
                    </w:rPr>
                    <w:t>相关方施加影响率100%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p>
                  <w:pPr>
                    <w:spacing w:line="220" w:lineRule="exact"/>
                    <w:rPr>
                      <w:szCs w:val="21"/>
                    </w:rPr>
                  </w:pPr>
                </w:p>
              </w:tc>
              <w:tc>
                <w:tcPr>
                  <w:tcW w:w="2038" w:type="dxa"/>
                  <w:tcBorders>
                    <w:top w:val="single" w:color="auto" w:sz="4" w:space="0"/>
                    <w:left w:val="single" w:color="auto" w:sz="4" w:space="0"/>
                    <w:bottom w:val="single" w:color="auto" w:sz="4" w:space="0"/>
                    <w:right w:val="single" w:color="auto" w:sz="4" w:space="0"/>
                  </w:tcBorders>
                </w:tcPr>
                <w:p>
                  <w:pPr>
                    <w:autoSpaceDE w:val="0"/>
                    <w:autoSpaceDN w:val="0"/>
                    <w:spacing w:line="220" w:lineRule="exact"/>
                    <w:rPr>
                      <w:rFonts w:hint="default" w:ascii="宋体" w:eastAsia="宋体" w:cs="AdobeSongStd-Light"/>
                      <w:szCs w:val="21"/>
                      <w:lang w:val="en-US" w:eastAsia="zh-CN"/>
                    </w:rPr>
                  </w:pPr>
                  <w:r>
                    <w:rPr>
                      <w:rFonts w:hint="eastAsia" w:ascii="宋体" w:hAnsi="宋体" w:cs="AdobeSongStd-Light"/>
                      <w:szCs w:val="21"/>
                      <w:lang w:val="en-US" w:eastAsia="zh-CN"/>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8" w:type="dxa"/>
                  <w:vMerge w:val="restart"/>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生产部</w:t>
                  </w:r>
                </w:p>
                <w:p>
                  <w:pPr>
                    <w:spacing w:line="220" w:lineRule="exact"/>
                    <w:jc w:val="center"/>
                    <w:rPr>
                      <w:szCs w:val="21"/>
                    </w:rPr>
                  </w:pPr>
                </w:p>
                <w:p>
                  <w:pPr>
                    <w:spacing w:line="220" w:lineRule="exact"/>
                    <w:jc w:val="center"/>
                    <w:rPr>
                      <w:szCs w:val="21"/>
                    </w:rPr>
                  </w:pPr>
                </w:p>
                <w:p>
                  <w:pPr>
                    <w:spacing w:line="220" w:lineRule="exact"/>
                    <w:jc w:val="center"/>
                    <w:rPr>
                      <w:szCs w:val="21"/>
                    </w:rPr>
                  </w:pPr>
                </w:p>
                <w:p>
                  <w:pPr>
                    <w:spacing w:line="220" w:lineRule="exact"/>
                    <w:jc w:val="center"/>
                    <w:rPr>
                      <w:szCs w:val="21"/>
                    </w:rPr>
                  </w:pPr>
                </w:p>
                <w:p>
                  <w:pPr>
                    <w:spacing w:line="220" w:lineRule="exact"/>
                    <w:jc w:val="center"/>
                    <w:rPr>
                      <w:szCs w:val="21"/>
                    </w:rPr>
                  </w:pPr>
                </w:p>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hint="default" w:ascii="宋体" w:eastAsia="宋体"/>
                      <w:color w:val="000000"/>
                      <w:szCs w:val="21"/>
                      <w:lang w:val="en-US" w:eastAsia="zh-CN"/>
                    </w:rPr>
                  </w:pPr>
                  <w:r>
                    <w:rPr>
                      <w:rFonts w:hint="eastAsia"/>
                      <w:szCs w:val="21"/>
                      <w:lang w:val="en-US" w:eastAsia="zh-CN"/>
                    </w:rPr>
                    <w:t>环保设备按期检定率100%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p>
                  <w:pPr>
                    <w:spacing w:line="220" w:lineRule="exact"/>
                    <w:rPr>
                      <w:szCs w:val="21"/>
                    </w:rPr>
                  </w:pP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ascii="宋体"/>
                      <w:color w:val="000000"/>
                      <w:szCs w:val="21"/>
                    </w:rPr>
                  </w:pPr>
                  <w:r>
                    <w:rPr>
                      <w:szCs w:val="21"/>
                    </w:rPr>
                    <w:t xml:space="preserve">100% </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hint="default" w:eastAsia="宋体"/>
                      <w:szCs w:val="21"/>
                      <w:lang w:val="en-US" w:eastAsia="zh-CN"/>
                    </w:rPr>
                  </w:pPr>
                  <w:r>
                    <w:rPr>
                      <w:rFonts w:hint="eastAsia" w:ascii="宋体" w:hAnsi="宋体"/>
                      <w:color w:val="000000"/>
                      <w:szCs w:val="21"/>
                      <w:lang w:val="en-US" w:eastAsia="zh-CN"/>
                    </w:rPr>
                    <w:t>安全环保检查整改计划落实率100%</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p>
                  <w:pPr>
                    <w:spacing w:line="220" w:lineRule="exact"/>
                    <w:rPr>
                      <w:szCs w:val="21"/>
                    </w:rPr>
                  </w:pP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ascii="宋体" w:hAnsi="宋体"/>
                      <w:color w:val="000000"/>
                      <w:szCs w:val="21"/>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ascii="宋体"/>
                      <w:color w:val="000000"/>
                      <w:szCs w:val="21"/>
                    </w:rPr>
                  </w:pPr>
                  <w:r>
                    <w:rPr>
                      <w:rFonts w:hint="eastAsia" w:ascii="宋体" w:hAnsi="宋体"/>
                      <w:color w:val="000000"/>
                      <w:szCs w:val="21"/>
                      <w:lang w:val="en-US" w:eastAsia="zh-CN"/>
                    </w:rPr>
                    <w:t>固体废弃物分类处理率为100%</w:t>
                  </w:r>
                  <w:r>
                    <w:rPr>
                      <w:szCs w:val="21"/>
                    </w:rPr>
                    <w:t xml:space="preserve"> </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p>
                  <w:pPr>
                    <w:spacing w:line="220" w:lineRule="exact"/>
                    <w:rPr>
                      <w:szCs w:val="21"/>
                    </w:rPr>
                  </w:pP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default" w:ascii="宋体" w:eastAsia="宋体"/>
                      <w:color w:val="000000"/>
                      <w:szCs w:val="21"/>
                      <w:lang w:val="en-US" w:eastAsia="zh-CN"/>
                    </w:rPr>
                  </w:pPr>
                  <w:r>
                    <w:rPr>
                      <w:rFonts w:hint="eastAsia" w:ascii="宋体" w:hAnsi="宋体"/>
                      <w:color w:val="000000"/>
                      <w:szCs w:val="21"/>
                      <w:lang w:val="en-US" w:eastAsia="zh-CN"/>
                    </w:rPr>
                    <w:t>100%</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p>
                  <w:pPr>
                    <w:spacing w:line="220" w:lineRule="exact"/>
                    <w:jc w:val="center"/>
                    <w:rPr>
                      <w:szCs w:val="21"/>
                    </w:rPr>
                  </w:pP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hint="default" w:ascii="宋体" w:eastAsia="宋体"/>
                      <w:color w:val="000000"/>
                      <w:szCs w:val="21"/>
                      <w:lang w:val="en-US" w:eastAsia="zh-CN"/>
                    </w:rPr>
                  </w:pPr>
                  <w:r>
                    <w:rPr>
                      <w:rFonts w:hint="eastAsia"/>
                      <w:szCs w:val="21"/>
                      <w:lang w:val="en-US" w:eastAsia="zh-CN"/>
                    </w:rPr>
                    <w:t>无环保污染投诉事故</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p>
                  <w:pPr>
                    <w:spacing w:line="220" w:lineRule="exact"/>
                    <w:rPr>
                      <w:szCs w:val="21"/>
                    </w:rPr>
                  </w:pP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eastAsia" w:ascii="宋体" w:eastAsia="宋体"/>
                      <w:color w:val="000000"/>
                      <w:szCs w:val="21"/>
                      <w:lang w:eastAsia="zh-CN"/>
                    </w:rPr>
                  </w:pPr>
                  <w:r>
                    <w:rPr>
                      <w:rFonts w:hint="eastAsia" w:ascii="宋体" w:hAnsi="宋体"/>
                      <w:color w:val="000000"/>
                      <w:szCs w:val="21"/>
                      <w:lang w:val="en-US" w:eastAsia="zh-CN"/>
                    </w:rPr>
                    <w:t>无</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8" w:type="dxa"/>
                  <w:vMerge w:val="continue"/>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c>
                <w:tcPr>
                  <w:tcW w:w="2626" w:type="dxa"/>
                  <w:tcBorders>
                    <w:top w:val="single" w:color="auto" w:sz="4" w:space="0"/>
                    <w:left w:val="single" w:color="auto" w:sz="4" w:space="0"/>
                    <w:bottom w:val="single" w:color="auto" w:sz="4" w:space="0"/>
                    <w:right w:val="single" w:color="auto" w:sz="4" w:space="0"/>
                  </w:tcBorders>
                </w:tcPr>
                <w:p>
                  <w:pPr>
                    <w:spacing w:line="220" w:lineRule="exact"/>
                    <w:rPr>
                      <w:rFonts w:hint="default" w:eastAsia="宋体"/>
                      <w:szCs w:val="21"/>
                      <w:lang w:val="en-US" w:eastAsia="zh-CN"/>
                    </w:rPr>
                  </w:pPr>
                  <w:r>
                    <w:rPr>
                      <w:rFonts w:hint="eastAsia"/>
                      <w:szCs w:val="21"/>
                      <w:lang w:val="en-US" w:eastAsia="zh-CN"/>
                    </w:rPr>
                    <w:t>无火灾事故</w:t>
                  </w:r>
                </w:p>
              </w:tc>
              <w:tc>
                <w:tcPr>
                  <w:tcW w:w="2826" w:type="dxa"/>
                  <w:tcBorders>
                    <w:top w:val="single" w:color="auto" w:sz="4" w:space="0"/>
                    <w:left w:val="single" w:color="auto" w:sz="4" w:space="0"/>
                    <w:bottom w:val="single" w:color="auto" w:sz="4" w:space="0"/>
                    <w:right w:val="single" w:color="auto" w:sz="4" w:space="0"/>
                  </w:tcBorders>
                </w:tcPr>
                <w:p>
                  <w:pPr>
                    <w:spacing w:line="220" w:lineRule="exact"/>
                    <w:rPr>
                      <w:szCs w:val="21"/>
                    </w:rPr>
                  </w:pPr>
                  <w:r>
                    <w:rPr>
                      <w:rFonts w:hint="eastAsia"/>
                      <w:szCs w:val="21"/>
                      <w:lang w:val="en-US" w:eastAsia="zh-CN"/>
                    </w:rPr>
                    <w:t>半年考核</w:t>
                  </w:r>
                </w:p>
                <w:p>
                  <w:pPr>
                    <w:spacing w:line="220" w:lineRule="exact"/>
                    <w:rPr>
                      <w:szCs w:val="21"/>
                    </w:rPr>
                  </w:pPr>
                </w:p>
              </w:tc>
              <w:tc>
                <w:tcPr>
                  <w:tcW w:w="2038" w:type="dxa"/>
                  <w:tcBorders>
                    <w:top w:val="single" w:color="auto" w:sz="4" w:space="0"/>
                    <w:left w:val="single" w:color="auto" w:sz="4" w:space="0"/>
                    <w:bottom w:val="single" w:color="auto" w:sz="4" w:space="0"/>
                    <w:right w:val="single" w:color="auto" w:sz="4" w:space="0"/>
                  </w:tcBorders>
                </w:tcPr>
                <w:p>
                  <w:pPr>
                    <w:spacing w:line="220" w:lineRule="exact"/>
                    <w:rPr>
                      <w:rFonts w:hint="eastAsia" w:eastAsia="宋体"/>
                      <w:szCs w:val="21"/>
                      <w:lang w:eastAsia="zh-CN"/>
                    </w:rPr>
                  </w:pPr>
                  <w:r>
                    <w:rPr>
                      <w:rFonts w:hint="eastAsia"/>
                      <w:szCs w:val="21"/>
                      <w:lang w:val="en-US" w:eastAsia="zh-CN"/>
                    </w:rPr>
                    <w:t>无</w:t>
                  </w:r>
                </w:p>
              </w:tc>
              <w:tc>
                <w:tcPr>
                  <w:tcW w:w="1058"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r>
                    <w:rPr>
                      <w:rFonts w:hint="eastAsia"/>
                      <w:szCs w:val="21"/>
                    </w:rPr>
                    <w:t>已经完成</w:t>
                  </w:r>
                </w:p>
              </w:tc>
              <w:tc>
                <w:tcPr>
                  <w:tcW w:w="615" w:type="dxa"/>
                  <w:tcBorders>
                    <w:top w:val="single" w:color="auto" w:sz="4" w:space="0"/>
                    <w:left w:val="single" w:color="auto" w:sz="4" w:space="0"/>
                    <w:bottom w:val="single" w:color="auto" w:sz="4" w:space="0"/>
                    <w:right w:val="single" w:color="auto" w:sz="4" w:space="0"/>
                  </w:tcBorders>
                </w:tcPr>
                <w:p>
                  <w:pPr>
                    <w:spacing w:line="220" w:lineRule="exact"/>
                    <w:jc w:val="center"/>
                    <w:rPr>
                      <w:szCs w:val="21"/>
                    </w:rPr>
                  </w:pPr>
                </w:p>
              </w:tc>
            </w:tr>
          </w:tbl>
          <w:p>
            <w:pPr>
              <w:spacing w:line="360" w:lineRule="auto"/>
              <w:rPr>
                <w:rFonts w:ascii="宋体"/>
                <w:szCs w:val="24"/>
              </w:rPr>
            </w:pP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资源</w:t>
            </w:r>
          </w:p>
        </w:tc>
        <w:tc>
          <w:tcPr>
            <w:tcW w:w="1311" w:type="dxa"/>
            <w:vAlign w:val="center"/>
          </w:tcPr>
          <w:p>
            <w:pPr>
              <w:rPr>
                <w:rFonts w:ascii="宋体" w:hAnsi="宋体"/>
                <w:szCs w:val="24"/>
              </w:rPr>
            </w:pPr>
            <w:r>
              <w:rPr>
                <w:rFonts w:ascii="宋体" w:hAnsi="宋体"/>
                <w:szCs w:val="24"/>
              </w:rPr>
              <w:t xml:space="preserve"> </w:t>
            </w:r>
          </w:p>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7.1</w:t>
            </w:r>
          </w:p>
        </w:tc>
        <w:tc>
          <w:tcPr>
            <w:tcW w:w="10004" w:type="dxa"/>
            <w:vAlign w:val="center"/>
          </w:tcPr>
          <w:p>
            <w:pPr>
              <w:snapToGrid w:val="0"/>
              <w:spacing w:line="360" w:lineRule="auto"/>
              <w:ind w:firstLine="420" w:firstLineChars="200"/>
              <w:rPr>
                <w:rFonts w:ascii="宋体"/>
                <w:szCs w:val="24"/>
              </w:rPr>
            </w:pPr>
            <w:r>
              <w:rPr>
                <w:rFonts w:hint="eastAsia" w:ascii="宋体"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snapToGrid w:val="0"/>
              <w:spacing w:line="360" w:lineRule="auto"/>
              <w:ind w:firstLine="420" w:firstLineChars="200"/>
              <w:rPr>
                <w:rFonts w:ascii="宋体"/>
                <w:szCs w:val="24"/>
              </w:rPr>
            </w:pPr>
            <w:r>
              <w:rPr>
                <w:rFonts w:hint="eastAsia" w:ascii="宋体" w:hAnsi="宋体"/>
                <w:szCs w:val="24"/>
              </w:rPr>
              <w:t>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napToGrid w:val="0"/>
              <w:spacing w:line="360" w:lineRule="auto"/>
              <w:ind w:firstLine="420" w:firstLineChars="200"/>
              <w:rPr>
                <w:rFonts w:ascii="宋体"/>
                <w:szCs w:val="24"/>
              </w:rPr>
            </w:pPr>
            <w:r>
              <w:rPr>
                <w:rFonts w:hint="eastAsia" w:ascii="宋体" w:hAnsi="宋体"/>
                <w:szCs w:val="24"/>
              </w:rPr>
              <w:t>查见</w:t>
            </w:r>
            <w:r>
              <w:rPr>
                <w:rFonts w:ascii="宋体" w:hAnsi="宋体"/>
                <w:szCs w:val="24"/>
              </w:rPr>
              <w:t>2019</w:t>
            </w:r>
            <w:r>
              <w:rPr>
                <w:rFonts w:hint="eastAsia" w:ascii="宋体" w:hAnsi="宋体"/>
                <w:szCs w:val="24"/>
              </w:rPr>
              <w:t>年环保安全资金投入计划财务支出明细，至今支出</w:t>
            </w:r>
            <w:r>
              <w:rPr>
                <w:rFonts w:hint="eastAsia" w:ascii="宋体" w:hAnsi="宋体"/>
                <w:szCs w:val="24"/>
                <w:lang w:val="en-US" w:eastAsia="zh-CN"/>
              </w:rPr>
              <w:t>3</w:t>
            </w:r>
            <w:r>
              <w:rPr>
                <w:rFonts w:hint="eastAsia" w:ascii="宋体" w:hAnsi="宋体"/>
                <w:szCs w:val="24"/>
              </w:rPr>
              <w:t>万元。</w:t>
            </w:r>
          </w:p>
          <w:p>
            <w:pPr>
              <w:autoSpaceDE w:val="0"/>
              <w:autoSpaceDN w:val="0"/>
              <w:adjustRightInd w:val="0"/>
              <w:spacing w:line="360" w:lineRule="auto"/>
              <w:ind w:firstLine="420" w:firstLineChars="200"/>
              <w:rPr>
                <w:rFonts w:ascii="宋体"/>
                <w:szCs w:val="24"/>
              </w:rPr>
            </w:pPr>
            <w:r>
              <w:rPr>
                <w:rFonts w:hint="eastAsia" w:ascii="宋体" w:hAnsi="宋体"/>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20" w:firstLineChars="200"/>
              <w:rPr>
                <w:rFonts w:ascii="宋体"/>
                <w:szCs w:val="24"/>
              </w:rPr>
            </w:pPr>
            <w:r>
              <w:rPr>
                <w:rFonts w:hint="eastAsia" w:ascii="宋体" w:hAnsi="宋体"/>
                <w:szCs w:val="24"/>
              </w:rPr>
              <w:t>公司目前的基础设施，能够满足当前</w:t>
            </w:r>
            <w:r>
              <w:rPr>
                <w:rFonts w:hint="eastAsia" w:ascii="宋体" w:hAnsi="宋体"/>
                <w:szCs w:val="24"/>
                <w:lang w:val="en-US" w:eastAsia="zh-CN"/>
              </w:rPr>
              <w:t>环境</w:t>
            </w:r>
            <w:r>
              <w:rPr>
                <w:rFonts w:hint="eastAsia" w:ascii="宋体" w:hAnsi="宋体"/>
                <w:szCs w:val="24"/>
              </w:rPr>
              <w:t>体系的要求。公司将依据经营发展的需要，会不断补充与增加。</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宋体"/>
                <w:szCs w:val="24"/>
              </w:rPr>
            </w:pPr>
            <w:r>
              <w:rPr>
                <w:rFonts w:hint="eastAsia" w:ascii="宋体" w:hAnsi="宋体"/>
                <w:szCs w:val="24"/>
              </w:rPr>
              <w:t>信息交流、沟通、</w:t>
            </w:r>
          </w:p>
          <w:p>
            <w:pPr>
              <w:rPr>
                <w:rFonts w:ascii="宋体"/>
                <w:szCs w:val="24"/>
              </w:rPr>
            </w:pPr>
            <w:r>
              <w:rPr>
                <w:rFonts w:hint="eastAsia" w:ascii="宋体" w:hAnsi="宋体"/>
                <w:szCs w:val="24"/>
              </w:rPr>
              <w:t>协商与参与</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7.4  </w:t>
            </w:r>
          </w:p>
          <w:p>
            <w:pPr>
              <w:rPr>
                <w:rFonts w:ascii="宋体" w:hAnsi="宋体"/>
                <w:szCs w:val="24"/>
              </w:rPr>
            </w:pPr>
          </w:p>
        </w:tc>
        <w:tc>
          <w:tcPr>
            <w:tcW w:w="10004" w:type="dxa"/>
            <w:vAlign w:val="center"/>
          </w:tcPr>
          <w:p>
            <w:pPr>
              <w:spacing w:line="360" w:lineRule="auto"/>
              <w:ind w:firstLine="468"/>
              <w:rPr>
                <w:rFonts w:ascii="宋体"/>
                <w:szCs w:val="24"/>
              </w:rPr>
            </w:pPr>
            <w:r>
              <w:rPr>
                <w:rFonts w:hint="eastAsia" w:ascii="宋体" w:hAnsi="宋体"/>
                <w:szCs w:val="24"/>
              </w:rPr>
              <w:t>组织在各部门之间建立了与体系有关的信息通渠沟道，借助于会议、电话、口头交流等方式使全体员工达到沟通和理解。目前各部门协调一致，工作上的借口基本理顺。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郭会军</w:t>
            </w:r>
            <w:r>
              <w:rPr>
                <w:rFonts w:hint="eastAsia" w:ascii="宋体" w:hAnsi="宋体"/>
                <w:szCs w:val="24"/>
              </w:rPr>
              <w:t>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w:t>
            </w:r>
            <w:r>
              <w:rPr>
                <w:rFonts w:hint="eastAsia" w:ascii="宋体" w:hAnsi="宋体"/>
                <w:szCs w:val="24"/>
                <w:lang w:val="en-US" w:eastAsia="zh-CN"/>
              </w:rPr>
              <w:t>郭会军</w:t>
            </w:r>
            <w:r>
              <w:rPr>
                <w:rFonts w:hint="eastAsia" w:ascii="宋体" w:hAnsi="宋体"/>
                <w:szCs w:val="24"/>
              </w:rPr>
              <w:t>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rPr>
              <w:t>管代</w:t>
            </w:r>
            <w:r>
              <w:rPr>
                <w:rFonts w:hint="eastAsia" w:ascii="宋体" w:hAnsi="宋体"/>
                <w:szCs w:val="21"/>
                <w:lang w:val="en-US" w:eastAsia="zh-CN"/>
              </w:rPr>
              <w:t>朱莉莉</w:t>
            </w:r>
            <w:r>
              <w:rPr>
                <w:rFonts w:hint="eastAsia" w:ascii="宋体" w:hAnsi="宋体"/>
                <w:szCs w:val="24"/>
              </w:rPr>
              <w:t>介绍公司规模不大，人员不多，组织为各部门管理人员及非管理类工作人员明确了职责和权限，各部门管理人员及非管理类工作人员参与了环境因素辨识、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日常对于环保的信息主要利用会议、培训、座谈、电话、网络、收文等方式进行内外部沟通和协商。</w:t>
            </w:r>
          </w:p>
          <w:p>
            <w:pPr>
              <w:spacing w:line="360" w:lineRule="auto"/>
              <w:ind w:firstLine="420" w:firstLineChars="200"/>
              <w:rPr>
                <w:rFonts w:ascii="宋体"/>
                <w:szCs w:val="24"/>
              </w:rPr>
            </w:pPr>
            <w:r>
              <w:rPr>
                <w:rFonts w:hint="eastAsia" w:ascii="宋体" w:hAnsi="宋体"/>
                <w:szCs w:val="24"/>
              </w:rPr>
              <w:t>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lang w:val="en-US" w:eastAsia="zh-CN"/>
              </w:rPr>
              <w:t>行政部</w:t>
            </w:r>
            <w:r>
              <w:rPr>
                <w:rFonts w:hint="eastAsia" w:ascii="宋体" w:hAnsi="宋体"/>
                <w:szCs w:val="24"/>
              </w:rPr>
              <w:t>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ascii="宋体"/>
                <w:szCs w:val="24"/>
              </w:rPr>
            </w:pPr>
            <w:r>
              <w:rPr>
                <w:rFonts w:hint="eastAsia" w:ascii="宋体" w:hAnsi="宋体"/>
                <w:szCs w:val="24"/>
              </w:rPr>
              <w:t>经交流：目前与环保、劳动、消防、安监部门的信息交流主要是参加会议、接收来文、电话、邮件等，均按要求予以传达和落实，沟通情况较好。</w:t>
            </w:r>
          </w:p>
          <w:p>
            <w:pPr>
              <w:spacing w:line="360" w:lineRule="auto"/>
              <w:ind w:firstLine="420" w:firstLineChars="200"/>
              <w:rPr>
                <w:rFonts w:ascii="宋体"/>
                <w:szCs w:val="24"/>
              </w:rPr>
            </w:pPr>
            <w:r>
              <w:rPr>
                <w:rFonts w:hint="eastAsia" w:ascii="宋体" w:hAnsi="宋体"/>
                <w:szCs w:val="24"/>
              </w:rPr>
              <w:t>由于公司福利待遇正常发放，员工无抱怨，目前信息交流机制畅通。</w:t>
            </w:r>
          </w:p>
          <w:p>
            <w:pPr>
              <w:spacing w:line="360" w:lineRule="auto"/>
              <w:ind w:firstLine="420" w:firstLineChars="200"/>
              <w:rPr>
                <w:rFonts w:ascii="宋体"/>
                <w:szCs w:val="24"/>
              </w:rPr>
            </w:pPr>
            <w:r>
              <w:rPr>
                <w:rFonts w:hint="eastAsia" w:ascii="宋体" w:hAnsi="宋体"/>
                <w:szCs w:val="24"/>
              </w:rPr>
              <w:t>现有的沟通渠道和方法能满足要求。审核中未发现因沟通不利不及时而造成（影响）某项工作不能正常运行的情况。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09" w:type="dxa"/>
            <w:vAlign w:val="center"/>
          </w:tcPr>
          <w:p>
            <w:pPr>
              <w:rPr>
                <w:rFonts w:ascii="宋体"/>
                <w:szCs w:val="24"/>
              </w:rPr>
            </w:pPr>
            <w:r>
              <w:rPr>
                <w:rFonts w:hint="eastAsia" w:ascii="宋体" w:hAnsi="宋体"/>
                <w:szCs w:val="24"/>
              </w:rPr>
              <w:t>管理评审</w:t>
            </w: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 xml:space="preserve">9.3  </w:t>
            </w:r>
          </w:p>
        </w:tc>
        <w:tc>
          <w:tcPr>
            <w:tcW w:w="10004" w:type="dxa"/>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2019.8.2</w:t>
            </w:r>
            <w:r>
              <w:rPr>
                <w:rFonts w:hint="eastAsia" w:ascii="宋体" w:hAnsi="宋体"/>
                <w:szCs w:val="24"/>
                <w:lang w:val="en-US" w:eastAsia="zh-CN"/>
              </w:rPr>
              <w:t>0</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郭会军</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环境管理体系相关的内外部因素的变化，顾客满意和相关方的反馈，目标的实现情况，监视和测量结果，内部审核结果，外部供方的绩效，资源的充分性，应对风险和机遇所采取的措施，重要环境因素，合规义务履行情况，事件调查、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ascii="宋体"/>
                <w:color w:val="000000"/>
                <w:szCs w:val="21"/>
              </w:rPr>
            </w:pPr>
            <w:r>
              <w:rPr>
                <w:rFonts w:hint="eastAsia" w:ascii="宋体" w:hAnsi="宋体"/>
                <w:szCs w:val="24"/>
              </w:rPr>
              <w:t>提出了</w:t>
            </w:r>
            <w:r>
              <w:rPr>
                <w:rFonts w:ascii="宋体" w:hAnsi="宋体"/>
                <w:szCs w:val="24"/>
              </w:rPr>
              <w:t>4</w:t>
            </w:r>
            <w:r>
              <w:rPr>
                <w:rFonts w:hint="eastAsia" w:ascii="宋体" w:hAnsi="宋体"/>
                <w:szCs w:val="24"/>
              </w:rPr>
              <w:t>项改进措施</w:t>
            </w:r>
            <w:r>
              <w:rPr>
                <w:rFonts w:ascii="宋体" w:hAnsi="宋体"/>
                <w:szCs w:val="24"/>
              </w:rPr>
              <w:t xml:space="preserve">: </w:t>
            </w:r>
            <w:r>
              <w:rPr>
                <w:rFonts w:ascii="宋体" w:hAnsi="宋体"/>
                <w:color w:val="000000"/>
                <w:szCs w:val="21"/>
              </w:rPr>
              <w:t>1</w:t>
            </w:r>
            <w:r>
              <w:rPr>
                <w:rFonts w:hint="eastAsia" w:ascii="宋体" w:hAnsi="宋体"/>
                <w:color w:val="000000"/>
                <w:szCs w:val="21"/>
              </w:rPr>
              <w:t>）进一步组织对</w:t>
            </w:r>
            <w:r>
              <w:rPr>
                <w:rFonts w:ascii="宋体" w:hAnsi="宋体"/>
                <w:color w:val="000000"/>
                <w:szCs w:val="21"/>
              </w:rPr>
              <w:t>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标准、《管理手册》、《程序文件》的学习和培训，使与管理体系有关的人员了解和掌握标准和本公司管理体系文件的内容，特别是应该提高内审员的水平和技巧；</w:t>
            </w:r>
          </w:p>
          <w:p>
            <w:pPr>
              <w:spacing w:line="360" w:lineRule="auto"/>
              <w:ind w:firstLine="420"/>
              <w:jc w:val="left"/>
              <w:rPr>
                <w:rFonts w:ascii="宋体"/>
                <w:color w:val="000000"/>
                <w:szCs w:val="21"/>
              </w:rPr>
            </w:pPr>
            <w:r>
              <w:rPr>
                <w:rFonts w:ascii="宋体" w:hAnsi="宋体"/>
                <w:color w:val="000000"/>
                <w:szCs w:val="21"/>
              </w:rPr>
              <w:t>2</w:t>
            </w:r>
            <w:r>
              <w:rPr>
                <w:rFonts w:hint="eastAsia" w:ascii="宋体" w:hAnsi="宋体"/>
                <w:color w:val="000000"/>
                <w:szCs w:val="21"/>
              </w:rPr>
              <w:t>）进一步组织对相关的法律、法规、规程和规范的学习，以增强广大技术人员的环境保护意识；</w:t>
            </w:r>
          </w:p>
          <w:p>
            <w:pPr>
              <w:spacing w:line="400" w:lineRule="exact"/>
              <w:ind w:firstLine="480"/>
              <w:rPr>
                <w:rFonts w:ascii="宋体"/>
                <w:color w:val="000000"/>
                <w:szCs w:val="21"/>
              </w:rPr>
            </w:pPr>
            <w:r>
              <w:rPr>
                <w:rFonts w:ascii="宋体" w:hAnsi="宋体"/>
                <w:color w:val="000000"/>
                <w:szCs w:val="21"/>
              </w:rPr>
              <w:t>3</w:t>
            </w:r>
            <w:r>
              <w:rPr>
                <w:rFonts w:hint="eastAsia" w:ascii="宋体" w:hAnsi="宋体"/>
                <w:color w:val="000000"/>
                <w:szCs w:val="21"/>
              </w:rPr>
              <w:t>）</w:t>
            </w:r>
            <w:r>
              <w:rPr>
                <w:rFonts w:hint="eastAsia"/>
                <w:szCs w:val="21"/>
              </w:rPr>
              <w:t>加强对风险管控知识的学习，由行政部进行调研，并制定详细的实施计划；</w:t>
            </w:r>
          </w:p>
          <w:p>
            <w:pPr>
              <w:spacing w:line="360" w:lineRule="auto"/>
              <w:ind w:firstLine="420"/>
              <w:jc w:val="left"/>
              <w:rPr>
                <w:rFonts w:ascii="宋体"/>
                <w:szCs w:val="21"/>
              </w:rPr>
            </w:pPr>
            <w:r>
              <w:rPr>
                <w:rFonts w:ascii="宋体" w:hAnsi="宋体"/>
                <w:color w:val="000000"/>
                <w:szCs w:val="21"/>
              </w:rPr>
              <w:t>4</w:t>
            </w:r>
            <w:r>
              <w:rPr>
                <w:rFonts w:hint="eastAsia" w:ascii="宋体" w:hAnsi="宋体"/>
                <w:color w:val="000000"/>
                <w:szCs w:val="21"/>
              </w:rPr>
              <w:t>）</w:t>
            </w:r>
            <w:r>
              <w:rPr>
                <w:rFonts w:hint="eastAsia" w:ascii="宋体" w:hAnsi="宋体"/>
                <w:szCs w:val="21"/>
              </w:rPr>
              <w:t>节能降耗，减少生产车间和办公区域资源能源和办公器材消耗量，减排增效，确保环境卫生。</w:t>
            </w:r>
          </w:p>
          <w:p>
            <w:pPr>
              <w:spacing w:line="360" w:lineRule="auto"/>
              <w:rPr>
                <w:rFonts w:ascii="宋体"/>
                <w:szCs w:val="24"/>
              </w:rPr>
            </w:pPr>
            <w:r>
              <w:rPr>
                <w:rFonts w:hint="eastAsia" w:ascii="宋体" w:hAnsi="宋体"/>
                <w:szCs w:val="24"/>
              </w:rPr>
              <w:t>管理评审的策划及实施符合要求。</w:t>
            </w:r>
            <w:bookmarkStart w:id="3" w:name="_GoBack"/>
            <w:bookmarkEnd w:id="3"/>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vAlign w:val="center"/>
          </w:tcPr>
          <w:p>
            <w:pPr>
              <w:rPr>
                <w:rFonts w:ascii="宋体"/>
                <w:szCs w:val="24"/>
              </w:rPr>
            </w:pPr>
            <w:r>
              <w:rPr>
                <w:rFonts w:hint="eastAsia" w:ascii="宋体" w:hAnsi="宋体"/>
                <w:szCs w:val="24"/>
              </w:rPr>
              <w:t>改进</w:t>
            </w:r>
          </w:p>
          <w:p>
            <w:pPr>
              <w:rPr>
                <w:rFonts w:ascii="宋体"/>
                <w:szCs w:val="24"/>
              </w:rPr>
            </w:pPr>
          </w:p>
        </w:tc>
        <w:tc>
          <w:tcPr>
            <w:tcW w:w="1311" w:type="dxa"/>
            <w:vAlign w:val="center"/>
          </w:tcPr>
          <w:p>
            <w:pPr>
              <w:rPr>
                <w:rFonts w:ascii="宋体" w:hAnsi="宋体"/>
                <w:szCs w:val="24"/>
              </w:rPr>
            </w:pPr>
            <w:r>
              <w:rPr>
                <w:rFonts w:ascii="宋体" w:hAnsi="宋体"/>
                <w:szCs w:val="24"/>
              </w:rPr>
              <w:t>E</w:t>
            </w:r>
            <w:r>
              <w:rPr>
                <w:rFonts w:hint="eastAsia" w:ascii="宋体" w:hAnsi="宋体"/>
                <w:szCs w:val="24"/>
              </w:rPr>
              <w:t>：</w:t>
            </w:r>
            <w:r>
              <w:rPr>
                <w:rFonts w:ascii="宋体" w:hAnsi="宋体"/>
                <w:szCs w:val="24"/>
              </w:rPr>
              <w:t>10.1</w:t>
            </w:r>
            <w:r>
              <w:rPr>
                <w:rFonts w:hint="eastAsia" w:ascii="宋体" w:hAnsi="宋体"/>
                <w:szCs w:val="24"/>
              </w:rPr>
              <w:t>、</w:t>
            </w:r>
            <w:r>
              <w:rPr>
                <w:rFonts w:ascii="宋体" w:hAnsi="宋体"/>
                <w:szCs w:val="24"/>
              </w:rPr>
              <w:t>10.3</w:t>
            </w:r>
          </w:p>
          <w:p>
            <w:pPr>
              <w:rPr>
                <w:rFonts w:ascii="宋体" w:hAnsi="宋体"/>
                <w:szCs w:val="24"/>
              </w:rPr>
            </w:pPr>
          </w:p>
        </w:tc>
        <w:tc>
          <w:tcPr>
            <w:tcW w:w="10004" w:type="dxa"/>
            <w:vAlign w:val="center"/>
          </w:tcPr>
          <w:p>
            <w:pPr>
              <w:snapToGrid w:val="0"/>
              <w:spacing w:line="360" w:lineRule="auto"/>
              <w:ind w:firstLine="420" w:firstLineChars="200"/>
              <w:rPr>
                <w:rFonts w:ascii="宋体"/>
                <w:szCs w:val="24"/>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行政部</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有较大的提高，持续改进了管理体系的有效性。</w:t>
            </w:r>
          </w:p>
          <w:p>
            <w:pPr>
              <w:spacing w:line="360" w:lineRule="auto"/>
              <w:ind w:firstLine="420" w:firstLineChars="200"/>
              <w:rPr>
                <w:rFonts w:ascii="宋体"/>
                <w:szCs w:val="24"/>
              </w:rPr>
            </w:pPr>
            <w:r>
              <w:rPr>
                <w:rFonts w:hint="eastAsia" w:ascii="宋体" w:hAnsi="宋体"/>
                <w:szCs w:val="24"/>
              </w:rPr>
              <w:t>自体系运行以来，全员的质量意识、服务意识、环保意识有较大的提高，市场经营规模有了较大发展，持续改进了管理体系的有效性。</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tcPr>
          <w:p>
            <w:pPr>
              <w:rPr>
                <w:rFonts w:ascii="宋体"/>
                <w:szCs w:val="24"/>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自公司成立以来，未受到上级主管部门有关环境问题的行政处罚。未发生相关方的投诉。</w:t>
            </w:r>
          </w:p>
          <w:p>
            <w:pPr>
              <w:spacing w:line="360" w:lineRule="auto"/>
              <w:ind w:firstLine="420" w:firstLineChars="200"/>
              <w:rPr>
                <w:rFonts w:ascii="宋体"/>
                <w:szCs w:val="24"/>
              </w:rPr>
            </w:pPr>
            <w:r>
              <w:rPr>
                <w:rFonts w:hint="eastAsia" w:ascii="宋体" w:hAnsi="宋体"/>
                <w:szCs w:val="24"/>
              </w:rPr>
              <w:t>暂时没有国家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szCs w:val="24"/>
              </w:rPr>
            </w:pPr>
            <w:r>
              <w:rPr>
                <w:rFonts w:hint="eastAsia" w:ascii="宋体" w:hAnsi="宋体"/>
                <w:szCs w:val="24"/>
              </w:rPr>
              <w:t>目前没有相关行政主管部门的检查处罚，在审核现场也未发现抽查、相关方投诉等情况。</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rPr>
                <w:rFonts w:ascii="宋体"/>
                <w:szCs w:val="24"/>
              </w:rPr>
            </w:pPr>
            <w:r>
              <w:rPr>
                <w:rFonts w:hint="eastAsia" w:ascii="宋体" w:hAnsi="宋体"/>
                <w:szCs w:val="24"/>
              </w:rPr>
              <w:t>验证资质</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提供了组织营业执照均为有效。</w:t>
            </w:r>
          </w:p>
        </w:tc>
        <w:tc>
          <w:tcPr>
            <w:tcW w:w="1585"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09" w:type="dxa"/>
          </w:tcPr>
          <w:p>
            <w:pPr>
              <w:rPr>
                <w:rFonts w:ascii="宋体"/>
                <w:szCs w:val="24"/>
              </w:rPr>
            </w:pPr>
            <w:r>
              <w:rPr>
                <w:rFonts w:hint="eastAsia" w:ascii="宋体" w:hAnsi="宋体"/>
                <w:szCs w:val="24"/>
              </w:rPr>
              <w:t>一阶段问题验证</w:t>
            </w:r>
          </w:p>
        </w:tc>
        <w:tc>
          <w:tcPr>
            <w:tcW w:w="1311" w:type="dxa"/>
          </w:tcPr>
          <w:p>
            <w:pPr>
              <w:rPr>
                <w:rFonts w:ascii="宋体"/>
                <w:szCs w:val="24"/>
              </w:rPr>
            </w:pPr>
          </w:p>
        </w:tc>
        <w:tc>
          <w:tcPr>
            <w:tcW w:w="10004" w:type="dxa"/>
          </w:tcPr>
          <w:p>
            <w:pPr>
              <w:spacing w:line="360" w:lineRule="auto"/>
              <w:ind w:firstLine="420" w:firstLineChars="200"/>
              <w:rPr>
                <w:rFonts w:ascii="宋体"/>
                <w:szCs w:val="24"/>
              </w:rPr>
            </w:pPr>
            <w:r>
              <w:rPr>
                <w:rFonts w:hint="eastAsia" w:ascii="宋体" w:hAnsi="宋体"/>
                <w:szCs w:val="24"/>
              </w:rPr>
              <w:t>一阶段审核时发现的问题，经现场验证已关闭，整改措施有效。</w:t>
            </w:r>
          </w:p>
        </w:tc>
        <w:tc>
          <w:tcPr>
            <w:tcW w:w="1585" w:type="dxa"/>
          </w:tcPr>
          <w:p>
            <w:pPr>
              <w:rPr>
                <w:rFonts w:ascii="宋体"/>
                <w:sz w:val="24"/>
                <w:szCs w:val="24"/>
              </w:rPr>
            </w:pPr>
          </w:p>
        </w:tc>
      </w:tr>
    </w:tbl>
    <w:p>
      <w:pPr>
        <w:jc w:val="center"/>
        <w:rPr>
          <w:rFonts w:ascii="宋体"/>
        </w:rPr>
      </w:pPr>
    </w:p>
    <w:p>
      <w:pPr>
        <w:pStyle w:val="3"/>
        <w:rPr>
          <w:rFonts w:ascii="宋体" w:hAnsi="宋体"/>
        </w:rPr>
      </w:pPr>
      <w:r>
        <w:rPr>
          <w:rFonts w:hint="eastAsia" w:ascii="宋体" w:hAnsi="宋体"/>
        </w:rPr>
        <w:t>说明：不符合标注</w:t>
      </w:r>
      <w:r>
        <w:rPr>
          <w:rFonts w:ascii="宋体" w:hAnsi="宋体"/>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AAPML+o¨²¨¬?">
    <w:altName w:val="Segoe Print"/>
    <w:panose1 w:val="00000000000000000000"/>
    <w:charset w:val="00"/>
    <w:family w:val="auto"/>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eastAsia"/>
      </w:rPr>
      <w:t>北京国标联合认证有限公司</w:t>
    </w:r>
    <w:r>
      <w:rPr>
        <w:rStyle w:val="10"/>
      </w:rPr>
      <w:tab/>
    </w:r>
    <w:r>
      <w:rPr>
        <w:rStyle w:val="10"/>
      </w:rPr>
      <w:tab/>
    </w:r>
    <w:r>
      <w:rPr>
        <w:rStyle w:val="10"/>
      </w:rPr>
      <w:tab/>
    </w:r>
  </w:p>
  <w:p>
    <w:pPr>
      <w:pStyle w:val="4"/>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0"/>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001A2"/>
    <w:rsid w:val="00004817"/>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400B59"/>
    <w:rsid w:val="00400B96"/>
    <w:rsid w:val="00405D5F"/>
    <w:rsid w:val="00410914"/>
    <w:rsid w:val="00415AA3"/>
    <w:rsid w:val="00420C60"/>
    <w:rsid w:val="00424936"/>
    <w:rsid w:val="00430432"/>
    <w:rsid w:val="00433759"/>
    <w:rsid w:val="0043494E"/>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F185D"/>
    <w:rsid w:val="005056ED"/>
    <w:rsid w:val="00517E4C"/>
    <w:rsid w:val="00521CF0"/>
    <w:rsid w:val="0053208B"/>
    <w:rsid w:val="00534814"/>
    <w:rsid w:val="00536930"/>
    <w:rsid w:val="00551AE7"/>
    <w:rsid w:val="00556AF4"/>
    <w:rsid w:val="00560A2A"/>
    <w:rsid w:val="00564E53"/>
    <w:rsid w:val="005779A8"/>
    <w:rsid w:val="00583277"/>
    <w:rsid w:val="00592C3E"/>
    <w:rsid w:val="005A000F"/>
    <w:rsid w:val="005B173D"/>
    <w:rsid w:val="005B6888"/>
    <w:rsid w:val="005C7367"/>
    <w:rsid w:val="005D7FAE"/>
    <w:rsid w:val="005F6C65"/>
    <w:rsid w:val="00600F02"/>
    <w:rsid w:val="0060444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F59"/>
    <w:rsid w:val="006C24BF"/>
    <w:rsid w:val="006C40B9"/>
    <w:rsid w:val="006D790F"/>
    <w:rsid w:val="006E678B"/>
    <w:rsid w:val="0070367F"/>
    <w:rsid w:val="00712F3C"/>
    <w:rsid w:val="007170AA"/>
    <w:rsid w:val="007177FF"/>
    <w:rsid w:val="00725123"/>
    <w:rsid w:val="00732B66"/>
    <w:rsid w:val="00737C8F"/>
    <w:rsid w:val="007406DE"/>
    <w:rsid w:val="00742F4E"/>
    <w:rsid w:val="00743E79"/>
    <w:rsid w:val="00744BEA"/>
    <w:rsid w:val="00751532"/>
    <w:rsid w:val="00751C37"/>
    <w:rsid w:val="0075769B"/>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6215B"/>
    <w:rsid w:val="008646DE"/>
    <w:rsid w:val="00864902"/>
    <w:rsid w:val="00864BE7"/>
    <w:rsid w:val="00865200"/>
    <w:rsid w:val="00871695"/>
    <w:rsid w:val="00891C25"/>
    <w:rsid w:val="008931BD"/>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74D1"/>
    <w:rsid w:val="009E30DA"/>
    <w:rsid w:val="009E6193"/>
    <w:rsid w:val="009E7DD1"/>
    <w:rsid w:val="009F7EED"/>
    <w:rsid w:val="00A036B5"/>
    <w:rsid w:val="00A138EC"/>
    <w:rsid w:val="00A22676"/>
    <w:rsid w:val="00A60F0B"/>
    <w:rsid w:val="00A801DE"/>
    <w:rsid w:val="00A90A22"/>
    <w:rsid w:val="00A97734"/>
    <w:rsid w:val="00AA7F40"/>
    <w:rsid w:val="00AB41FC"/>
    <w:rsid w:val="00AB7D2F"/>
    <w:rsid w:val="00AD6F34"/>
    <w:rsid w:val="00AF0AAB"/>
    <w:rsid w:val="00AF156F"/>
    <w:rsid w:val="00AF616B"/>
    <w:rsid w:val="00B02A7F"/>
    <w:rsid w:val="00B0685B"/>
    <w:rsid w:val="00B218ED"/>
    <w:rsid w:val="00B22D22"/>
    <w:rsid w:val="00B23030"/>
    <w:rsid w:val="00B237B9"/>
    <w:rsid w:val="00B23CAA"/>
    <w:rsid w:val="00B410EE"/>
    <w:rsid w:val="00B8202D"/>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4940"/>
    <w:rsid w:val="00D55E69"/>
    <w:rsid w:val="00D562F6"/>
    <w:rsid w:val="00D8388C"/>
    <w:rsid w:val="00DA0DF0"/>
    <w:rsid w:val="00DA32AB"/>
    <w:rsid w:val="00DA50ED"/>
    <w:rsid w:val="00DB5DEA"/>
    <w:rsid w:val="00DD1C8E"/>
    <w:rsid w:val="00DE146D"/>
    <w:rsid w:val="00DE2D80"/>
    <w:rsid w:val="00DE6FCE"/>
    <w:rsid w:val="00DF76DB"/>
    <w:rsid w:val="00E038E4"/>
    <w:rsid w:val="00E03908"/>
    <w:rsid w:val="00E13D9A"/>
    <w:rsid w:val="00E32D13"/>
    <w:rsid w:val="00E43822"/>
    <w:rsid w:val="00E54035"/>
    <w:rsid w:val="00E574D6"/>
    <w:rsid w:val="00E62996"/>
    <w:rsid w:val="00E63714"/>
    <w:rsid w:val="00E64A51"/>
    <w:rsid w:val="00E676F9"/>
    <w:rsid w:val="00E910C0"/>
    <w:rsid w:val="00E97424"/>
    <w:rsid w:val="00EA55F7"/>
    <w:rsid w:val="00EB0164"/>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03DD03A7"/>
    <w:rsid w:val="0952002A"/>
    <w:rsid w:val="108219C2"/>
    <w:rsid w:val="204B246C"/>
    <w:rsid w:val="2F2A2336"/>
    <w:rsid w:val="36BD6FED"/>
    <w:rsid w:val="43C65B90"/>
    <w:rsid w:val="45F91B41"/>
    <w:rsid w:val="537F77EE"/>
    <w:rsid w:val="55993DCF"/>
    <w:rsid w:val="5A21345D"/>
    <w:rsid w:val="5EA12B9A"/>
    <w:rsid w:val="62D3586D"/>
    <w:rsid w:val="6DD70F24"/>
    <w:rsid w:val="7ABF1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locked/>
    <w:uiPriority w:val="99"/>
    <w:rPr>
      <w:rFonts w:ascii="Times New Roman" w:hAnsi="Times New Roman" w:eastAsia="宋体" w:cs="Times New Roman"/>
      <w:sz w:val="18"/>
      <w:szCs w:val="18"/>
    </w:rPr>
  </w:style>
  <w:style w:type="character" w:customStyle="1" w:styleId="8">
    <w:name w:val="页脚 Char"/>
    <w:link w:val="3"/>
    <w:qFormat/>
    <w:locked/>
    <w:uiPriority w:val="99"/>
    <w:rPr>
      <w:rFonts w:ascii="Times New Roman" w:hAnsi="Times New Roman" w:eastAsia="宋体" w:cs="Times New Roman"/>
      <w:sz w:val="18"/>
      <w:szCs w:val="18"/>
    </w:rPr>
  </w:style>
  <w:style w:type="character" w:customStyle="1" w:styleId="9">
    <w:name w:val="页眉 Char"/>
    <w:link w:val="4"/>
    <w:locked/>
    <w:uiPriority w:val="99"/>
    <w:rPr>
      <w:rFonts w:ascii="Times New Roman" w:hAnsi="Times New Roman" w:eastAsia="宋体" w:cs="Times New Roman"/>
      <w:sz w:val="18"/>
      <w:szCs w:val="18"/>
    </w:rPr>
  </w:style>
  <w:style w:type="character" w:customStyle="1" w:styleId="10">
    <w:name w:val="Char Char1"/>
    <w:qFormat/>
    <w:locked/>
    <w:uiPriority w:val="99"/>
    <w:rPr>
      <w:rFonts w:ascii="宋体" w:hAnsi="Courier New" w:eastAsia="宋体"/>
      <w:kern w:val="2"/>
      <w:sz w:val="21"/>
      <w:lang w:val="en-US" w:eastAsia="zh-CN"/>
    </w:rPr>
  </w:style>
  <w:style w:type="character" w:customStyle="1" w:styleId="11">
    <w:name w:val="fontstyle01"/>
    <w:qFormat/>
    <w:uiPriority w:val="99"/>
    <w:rPr>
      <w:rFonts w:ascii="宋体" w:hAnsi="宋体" w:eastAsia="宋体" w:cs="Times New Roman"/>
      <w:color w:val="000000"/>
      <w:sz w:val="24"/>
      <w:szCs w:val="24"/>
    </w:rPr>
  </w:style>
  <w:style w:type="character" w:customStyle="1" w:styleId="12">
    <w:name w:val="fontstyle21"/>
    <w:uiPriority w:val="99"/>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1151</Words>
  <Characters>6566</Characters>
  <Lines>54</Lines>
  <Paragraphs>15</Paragraphs>
  <TotalTime>0</TotalTime>
  <ScaleCrop>false</ScaleCrop>
  <LinksUpToDate>false</LinksUpToDate>
  <CharactersWithSpaces>7702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lenovo</cp:lastModifiedBy>
  <dcterms:modified xsi:type="dcterms:W3CDTF">2019-11-30T14:13:32Z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