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生产工程部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szCs w:val="24"/>
              </w:rPr>
              <w:t>陪同人员：</w:t>
            </w:r>
            <w:bookmarkStart w:id="0" w:name="联系人"/>
            <w:r>
              <w:rPr>
                <w:color w:val="auto"/>
                <w:sz w:val="21"/>
                <w:szCs w:val="21"/>
                <w:highlight w:val="none"/>
                <w:shd w:val="clear" w:color="auto" w:fill="auto"/>
              </w:rPr>
              <w:t>张小民</w:t>
            </w:r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审核员：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张磊   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</w:rPr>
              <w:t>审核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2021.12.27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E:6.1.2/6.1.4/6.2/8.1/8.2</w:t>
            </w:r>
          </w:p>
          <w:p>
            <w:pPr>
              <w:ind w:firstLine="1200" w:firstLineChars="5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O:6.1.2/6.1.4/6.2/8.1/8.2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目标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EO6.2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EHS目标与管理方案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本部门的分解环境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p>
            <w:pPr>
              <w:pStyle w:val="14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  <w:t>查《2021年年度目标检查表》每季度考核一次，查第四季度考核结果：</w:t>
            </w:r>
          </w:p>
          <w:tbl>
            <w:tblPr>
              <w:tblStyle w:val="5"/>
              <w:tblW w:w="89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54"/>
              <w:gridCol w:w="2730"/>
              <w:gridCol w:w="820"/>
              <w:gridCol w:w="1060"/>
              <w:gridCol w:w="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环境</w:t>
                  </w:r>
                  <w:r>
                    <w:rPr>
                      <w:rFonts w:hint="eastAsia"/>
                      <w:szCs w:val="22"/>
                      <w:highlight w:val="none"/>
                      <w:lang w:eastAsia="zh-CN"/>
                    </w:rPr>
                    <w:t>目标</w:t>
                  </w:r>
                </w:p>
              </w:tc>
              <w:tc>
                <w:tcPr>
                  <w:tcW w:w="273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测量方法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考核频率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目标实际完成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固废分类收集，合规处置率100%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固体废弃物分类处置数/总固体废弃物数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0"/>
                      <w:szCs w:val="20"/>
                    </w:rPr>
                    <w:t>季度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100%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生产工程部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全年火灾事故发生率为“0”。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火灾事故发生次数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0发生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生产工程部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全年触电伤害事故发生率为“0”。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触电事故发生次数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0发生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生产工程部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重大交通安全事故的发生为“0”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重大交通事故发生次数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年度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0发生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生产工程部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环境因素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E6.1.2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环境因素控制程序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/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责相关的主要环境因素及其控制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474"/>
              <w:gridCol w:w="33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24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33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电和水消耗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GB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管理节能、变频器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固体废弃物的排放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集中收集、由有资质的第三方处置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潜在火灾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运行控制程序和管理办法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噪声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运行控制程序和管理办法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危险源辨识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如：手册第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/>
                <w:color w:val="auto"/>
                <w:lang w:val="en-US" w:eastAsia="zh-CN"/>
              </w:rPr>
              <w:t>条款、《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危险源辨识控制程序</w:t>
            </w:r>
            <w:r>
              <w:rPr>
                <w:rFonts w:hint="eastAsia"/>
                <w:color w:val="auto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color w:val="auto"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本部门的主要危险源包括：</w:t>
            </w:r>
          </w:p>
          <w:p>
            <w:p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机械伤害：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物体打击 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高空落物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高空坠落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车辆撞人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化学伤害：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中毒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灼烧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粉尘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窒息（受限空间）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冷热伤害：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烫伤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中暑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冻伤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highlight w:val="none"/>
                <w:lang w:val="en-US" w:eastAsia="zh-CN"/>
              </w:rPr>
              <w:t>电的伤害</w:t>
            </w:r>
            <w:r>
              <w:rPr>
                <w:rFonts w:hint="eastAsia"/>
                <w:color w:val="auto"/>
                <w:szCs w:val="18"/>
                <w:highlight w:val="none"/>
                <w:lang w:eastAsia="zh-CN"/>
              </w:rPr>
              <w:t>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触电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雷击   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其他——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火灾伤害：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爆炸 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灼烧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声音伤害：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噪声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评价不可接受风险的准则：</w:t>
            </w:r>
            <w:r>
              <w:rPr>
                <w:rFonts w:hint="eastAsia"/>
                <w:color w:val="auto"/>
                <w:lang w:val="en-US" w:eastAsia="zh-CN"/>
              </w:rPr>
              <w:t>《</w:t>
            </w:r>
            <w:r>
              <w:rPr>
                <w:rFonts w:hint="eastAsia"/>
                <w:color w:val="auto"/>
                <w:szCs w:val="22"/>
              </w:rPr>
              <w:t>危险源辨识和风险评价控制程序</w:t>
            </w:r>
            <w:r>
              <w:rPr>
                <w:rFonts w:hint="eastAsia"/>
                <w:color w:val="auto"/>
                <w:lang w:val="en-US" w:eastAsia="zh-CN"/>
              </w:rPr>
              <w:t>》</w:t>
            </w:r>
            <w:r>
              <w:rPr>
                <w:rFonts w:hint="eastAsia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LEC法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重要危险源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，及其</w:t>
            </w: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控制措施</w:t>
            </w: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：</w:t>
            </w:r>
          </w:p>
          <w:tbl>
            <w:tblPr>
              <w:tblStyle w:val="5"/>
              <w:tblW w:w="841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084"/>
              <w:gridCol w:w="46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208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469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  <w:t>物体打击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人身伤害  </w:t>
                  </w:r>
                </w:p>
              </w:tc>
              <w:tc>
                <w:tcPr>
                  <w:tcW w:w="469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469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  <w:t>机械伤害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烧伤、中毒</w:t>
                  </w:r>
                </w:p>
              </w:tc>
              <w:tc>
                <w:tcPr>
                  <w:tcW w:w="469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设备维护、</w:t>
                  </w: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高温作业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中暑</w:t>
                  </w:r>
                </w:p>
              </w:tc>
              <w:tc>
                <w:tcPr>
                  <w:tcW w:w="469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通风、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降温、吃防暑药品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带电作业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69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做好接地、接零、漏电、绝缘、防火防爆等措施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新冠肺炎感染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人身健康伤害</w:t>
                  </w:r>
                </w:p>
              </w:tc>
              <w:tc>
                <w:tcPr>
                  <w:tcW w:w="469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/>
                      <w:color w:val="auto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>运行控制程序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>、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>应急预案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措施的策划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E6.1.4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手册第6.1.4条款、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《管理方案》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组织针对</w:t>
            </w:r>
            <w:r>
              <w:rPr>
                <w:rFonts w:hint="eastAsia"/>
                <w:lang w:val="en-US" w:eastAsia="zh-CN"/>
              </w:rPr>
              <w:t>重要环境因素、合规义务、风险和机遇制订了控制措施（管理方案）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0"/>
              <w:gridCol w:w="4547"/>
              <w:gridCol w:w="9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控制内容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危险废弃物集中收集、统一处理；隔音降噪处理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Times New Roman"/>
                      <w:lang w:val="en-GB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合规义务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特种设备定期送检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风险和机遇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危化品泄露、爆炸；火灾；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lang w:eastAsia="zh-CN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措施的策划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O6.1.4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手册第6.1.4条款、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《管理方案》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组织针对</w:t>
            </w:r>
            <w:r>
              <w:rPr>
                <w:rFonts w:hint="eastAsia"/>
                <w:lang w:val="en-US" w:eastAsia="zh-CN"/>
              </w:rPr>
              <w:t>不可接受风险、合规义务、风险和机遇制订了控制措施（管理方案）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0"/>
              <w:gridCol w:w="4547"/>
              <w:gridCol w:w="9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控制内容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2"/>
                      <w:szCs w:val="24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93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/>
                      <w:kern w:val="2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不可接受风险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设备维护、</w:t>
                  </w: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日常检查、定期检测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cs="Times New Roman"/>
                      <w:lang w:val="en-GB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合规义务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消防设施、日常检查、定期检测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风险和机遇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爆破片、安全阀、定期检测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做好接地、接零、漏电、绝缘、防火防爆等措施</w:t>
                  </w: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3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运行控制</w:t>
            </w:r>
          </w:p>
        </w:tc>
        <w:tc>
          <w:tcPr>
            <w:tcW w:w="96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E8</w:t>
            </w:r>
            <w:r>
              <w:rPr>
                <w:rFonts w:hint="eastAsia"/>
                <w:highlight w:val="none"/>
              </w:rPr>
              <w:t xml:space="preserve">.1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如：手册第8.1条款、《</w:t>
            </w:r>
            <w:r>
              <w:rPr>
                <w:rFonts w:hint="eastAsia"/>
                <w:highlight w:val="none"/>
              </w:rPr>
              <w:t>基础设施</w:t>
            </w:r>
            <w:r>
              <w:rPr>
                <w:rFonts w:hint="eastAsia"/>
                <w:highlight w:val="none"/>
                <w:lang w:val="en-US" w:eastAsia="zh-CN"/>
              </w:rPr>
              <w:t>控制程序》、《设备管理制度》、《设备操作规程》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color w:val="FF0000"/>
                <w:highlight w:val="cy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基础设施包括：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办公楼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车间厂房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库房 </w:t>
            </w:r>
            <w:r>
              <w:rPr>
                <w:rFonts w:hint="eastAsia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生产设备</w:t>
            </w:r>
            <w:r>
              <w:rPr>
                <w:rFonts w:hint="eastAsia"/>
                <w:highlight w:val="none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特种设备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动力设施</w:t>
            </w:r>
          </w:p>
          <w:p>
            <w:pPr>
              <w:ind w:firstLine="1680" w:firstLineChars="800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试验设备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辅助设施 </w:t>
            </w:r>
            <w:r>
              <w:rPr>
                <w:rFonts w:hint="eastAsia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</w:p>
          <w:p>
            <w:pPr>
              <w:rPr>
                <w:rFonts w:hint="default"/>
                <w:color w:val="FF0000"/>
                <w:highlight w:val="cyan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查看对设备采购的控制（近一年未进行设备采购）</w:t>
            </w:r>
          </w:p>
          <w:p>
            <w:pPr>
              <w:rPr>
                <w:rFonts w:hint="eastAsia"/>
                <w:highlight w:val="cyan"/>
                <w:vertAlign w:val="baseline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设备；电动螺丝刀、电烙铁、手电钻、交流接触调压器、手动试压泵、换能器压力试验装置、多功能试验水槽、电动拖车等设备。设备日常对工具及设备进行清洁及设备状态检查，基本无问题，有问题时部分小工具进行更换，大型设备有专门人员进行维修，本年度无维修记录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系统集成项目主要设备有电钻、网络压线钳、剥线钳等工具。设备状态均良好，满足项目需要。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日常办公有电脑、打印机、服务器等。日程保养为使用人自行维护。无记录。</w:t>
            </w:r>
          </w:p>
          <w:p>
            <w:pPr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设备完好情况</w:t>
            </w:r>
          </w:p>
          <w:p>
            <w:pPr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是否发生设备故障引起停产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  <w:r>
              <w:rPr>
                <w:rFonts w:hint="eastAsia" w:ascii="Calibri" w:hAnsi="Calibri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</w:rPr>
              <w:t>未发生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  <w:lang w:val="en-US" w:eastAsia="zh-CN"/>
              </w:rPr>
              <w:t>已发生</w:t>
            </w:r>
          </w:p>
          <w:tbl>
            <w:tblPr>
              <w:tblStyle w:val="6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3"/>
              <w:gridCol w:w="1099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7" w:hRule="atLeast"/>
              </w:trPr>
              <w:tc>
                <w:tcPr>
                  <w:tcW w:w="2243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设备故障引起停产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描述</w:t>
                  </w: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发生日期</w:t>
                  </w:r>
                </w:p>
              </w:tc>
              <w:tc>
                <w:tcPr>
                  <w:tcW w:w="1817" w:type="dxa"/>
                  <w:vAlign w:val="top"/>
                </w:tcPr>
                <w:p>
                  <w:pPr>
                    <w:spacing w:after="0" w:line="240" w:lineRule="auto"/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停机时间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小时</w:t>
                  </w: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1920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是否影响产品质量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是否影响环境和职业健康安全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27" w:hRule="atLeast"/>
              </w:trPr>
              <w:tc>
                <w:tcPr>
                  <w:tcW w:w="2243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99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</w:p>
              </w:tc>
              <w:tc>
                <w:tcPr>
                  <w:tcW w:w="1817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920" w:type="dxa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特种设备控制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u w:val="none"/>
                <w:vertAlign w:val="baseline"/>
                <w:lang w:val="en-US" w:eastAsia="zh-CN"/>
              </w:rPr>
              <w:t>特种设备种类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u w:val="none"/>
                <w:vertAlign w:val="baseline"/>
                <w:lang w:val="en-US" w:eastAsia="zh-CN"/>
              </w:rPr>
              <w:t xml:space="preserve">叉车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行</w:t>
            </w:r>
            <w:r>
              <w:rPr>
                <w:rFonts w:hint="eastAsia"/>
                <w:highlight w:val="none"/>
                <w:u w:val="none"/>
                <w:vertAlign w:val="baseline"/>
                <w:lang w:val="en-US" w:eastAsia="zh-CN"/>
              </w:rPr>
              <w:t xml:space="preserve">车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锅炉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电梯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压力容器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压力管道 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不适用  </w:t>
            </w:r>
          </w:p>
          <w:tbl>
            <w:tblPr>
              <w:tblStyle w:val="6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5"/>
              <w:gridCol w:w="13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45" w:type="dxa"/>
                </w:tcPr>
                <w:p>
                  <w:pPr>
                    <w:spacing w:after="0" w:line="240" w:lineRule="auto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设备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397" w:type="dxa"/>
                </w:tcPr>
                <w:p>
                  <w:pPr>
                    <w:spacing w:after="0" w:line="240" w:lineRule="auto"/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使用等级证</w:t>
                  </w:r>
                  <w:r>
                    <w:rPr>
                      <w:rFonts w:hint="eastAsia"/>
                      <w:highlight w:val="none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045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电梯（货梯）</w:t>
                  </w:r>
                </w:p>
              </w:tc>
              <w:tc>
                <w:tcPr>
                  <w:tcW w:w="1397" w:type="dxa"/>
                </w:tcPr>
                <w:p>
                  <w:pPr>
                    <w:spacing w:after="0" w:line="240" w:lineRule="auto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highlight w:val="none"/>
                      <w:lang w:val="en-US" w:eastAsia="zh-CN"/>
                    </w:rPr>
                    <w:t>梯12苏A32382（20）</w:t>
                  </w:r>
                </w:p>
              </w:tc>
              <w:tc>
                <w:tcPr>
                  <w:tcW w:w="1744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shd w:val="clear" w:color="auto" w:fill="auto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820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</w:t>
                  </w:r>
                  <w:r>
                    <w:rPr>
                      <w:rFonts w:hint="eastAsia"/>
                      <w:highlight w:val="none"/>
                    </w:rPr>
                    <w:t>年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06</w:t>
                  </w:r>
                  <w:r>
                    <w:rPr>
                      <w:rFonts w:hint="eastAsia"/>
                      <w:highlight w:val="none"/>
                    </w:rPr>
                    <w:t>月  日</w:t>
                  </w:r>
                </w:p>
              </w:tc>
              <w:tc>
                <w:tcPr>
                  <w:tcW w:w="1706" w:type="dxa"/>
                </w:tcPr>
                <w:p>
                  <w:pPr>
                    <w:spacing w:after="0" w:line="240" w:lineRule="auto"/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  <w:vAlign w:val="top"/>
                </w:tcPr>
                <w:p>
                  <w:pPr>
                    <w:spacing w:after="0" w:line="240" w:lineRule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无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6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4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vMerge w:val="restart"/>
                </w:tcPr>
                <w:p>
                  <w:pPr>
                    <w:spacing w:after="0" w:line="240" w:lineRule="auto"/>
                    <w:rPr>
                      <w:rFonts w:hint="eastAsia" w:eastAsia="宋体"/>
                      <w:color w:val="auto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auto"/>
                      <w:highlight w:val="none"/>
                    </w:rPr>
                    <w:t>特种设备日常点检</w:t>
                  </w:r>
                  <w:r>
                    <w:rPr>
                      <w:rFonts w:hint="eastAsia"/>
                      <w:color w:val="auto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外包——电梯</w:t>
                  </w:r>
                  <w:r>
                    <w:rPr>
                      <w:rFonts w:hint="eastAsia"/>
                      <w:color w:val="auto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外包方名称：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维保合同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期限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  <w:highlight w:val="none"/>
                    </w:rPr>
                  </w:pPr>
                  <w:r>
                    <w:rPr>
                      <w:rFonts w:hint="eastAsia" w:ascii="Calibri" w:hAnsi="Calibri"/>
                      <w:color w:val="auto"/>
                      <w:highlight w:val="none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vMerge w:val="continue"/>
                </w:tcPr>
                <w:p>
                  <w:pPr>
                    <w:spacing w:after="0" w:line="240" w:lineRule="auto"/>
                    <w:rPr>
                      <w:rFonts w:hint="eastAsia"/>
                      <w:color w:val="auto"/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spacing w:after="0" w:line="240" w:lineRule="auto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南京祥安机电设备有限公司</w:t>
                  </w:r>
                </w:p>
              </w:tc>
              <w:tc>
                <w:tcPr>
                  <w:tcW w:w="1808" w:type="dxa"/>
                </w:tcPr>
                <w:p>
                  <w:pPr>
                    <w:spacing w:after="0" w:line="240" w:lineRule="auto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2020.09.01至2021.08.31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after="0" w:line="240" w:lineRule="auto"/>
                    <w:rPr>
                      <w:rFonts w:hint="default" w:ascii="Calibri" w:hAnsi="Calibri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color w:val="auto"/>
                      <w:highlight w:val="none"/>
                      <w:lang w:val="en-US" w:eastAsia="zh-CN"/>
                    </w:rPr>
                    <w:t>编号：TS3332422-2022有效期：2022-06-11</w:t>
                  </w:r>
                </w:p>
              </w:tc>
              <w:tc>
                <w:tcPr>
                  <w:tcW w:w="1374" w:type="dxa"/>
                </w:tcPr>
                <w:p>
                  <w:pPr>
                    <w:spacing w:after="0" w:line="240" w:lineRule="auto"/>
                    <w:rPr>
                      <w:rFonts w:ascii="Calibri" w:hAnsi="Calibri"/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-498475</wp:posOffset>
                  </wp:positionH>
                  <wp:positionV relativeFrom="paragraph">
                    <wp:posOffset>675640</wp:posOffset>
                  </wp:positionV>
                  <wp:extent cx="4017645" cy="3014980"/>
                  <wp:effectExtent l="0" t="0" r="7620" b="8255"/>
                  <wp:wrapNone/>
                  <wp:docPr id="2" name="图片 2" descr="C:/Users/lenovo/AppData/Local/Temp/picturecompress_2021122714405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lenovo/AppData/Local/Temp/picturecompress_2021122714405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017645" cy="301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462280</wp:posOffset>
                  </wp:positionV>
                  <wp:extent cx="3979545" cy="2985770"/>
                  <wp:effectExtent l="0" t="0" r="11430" b="8255"/>
                  <wp:wrapNone/>
                  <wp:docPr id="3" name="图片 3" descr="C:/Users/lenovo/AppData/Local/Temp/picturecompress_20211227144052/output_2.jpgoutput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AppData/Local/Temp/picturecompress_20211227144052/output_2.jpgoutput_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979545" cy="298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  <w:p>
            <w:pPr>
              <w:spacing w:line="320" w:lineRule="exact"/>
            </w:pPr>
            <w:r>
              <w:t>日常</w:t>
            </w:r>
            <w:r>
              <w:rPr>
                <w:rFonts w:hint="eastAsia"/>
                <w:lang w:val="en-US" w:eastAsia="zh-CN"/>
              </w:rPr>
              <w:t>生产</w:t>
            </w:r>
            <w:r>
              <w:t>不产生污水，</w:t>
            </w:r>
            <w:r>
              <w:rPr>
                <w:rFonts w:hint="eastAsia"/>
                <w:lang w:val="en-US" w:eastAsia="zh-CN"/>
              </w:rPr>
              <w:t>行政部</w:t>
            </w:r>
            <w:r>
              <w:t>配有卫生间；生活污水排入市政管网，无土壤污染现象；</w:t>
            </w:r>
          </w:p>
          <w:p>
            <w:pPr>
              <w:spacing w:line="320" w:lineRule="exact"/>
            </w:pPr>
            <w:r>
              <w:t>日常注重水电的节约，有节约用电和水的意识，没有发现常明灯常流水，以及跑、冒、滴、漏现象，提倡无纸化办公；夏日开窗通风，减少使用空调；</w:t>
            </w:r>
          </w:p>
          <w:p>
            <w:pPr>
              <w:spacing w:line="320" w:lineRule="exact"/>
            </w:pPr>
            <w:r>
              <w:t>企业为员工缴纳了社保，社保种类：养老、失业、医保（普通参保、医疗救助）、工伤、生育等；</w:t>
            </w:r>
          </w:p>
          <w:p>
            <w:pPr>
              <w:spacing w:line="320" w:lineRule="exact"/>
            </w:pPr>
            <w:r>
              <w:t>企业定期组织员工进行体检。</w:t>
            </w:r>
          </w:p>
          <w:p>
            <w:pPr>
              <w:pStyle w:val="14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查看2021年12月社保缴纳记录：缴费人数28人，已完成缴费</w:t>
            </w:r>
          </w:p>
          <w:p>
            <w:p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定期发放劳保用品，查看劳保用品发放记录：2021.12.3领用手套8套，口罩50个，领用人：付辉；2021年5月11号领用橡胶手套1盒，领用人：戴云霞</w:t>
            </w:r>
          </w:p>
          <w:bookmarkEnd w:id="1"/>
          <w:p>
            <w:pPr>
              <w:pStyle w:val="14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编制《安全生产操作过程》、《</w:t>
            </w: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过程监视和测量控制程序</w:t>
            </w: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  <w:lang w:eastAsia="zh-CN"/>
              </w:rPr>
              <w:t>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</w:rPr>
              <w:t>生产/服务流程图：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系统集成项目流程：签订合同—确定需求—方案策划—设计开发—设备类采购—设备进场验收—系统安装调试—客户培训—客户验收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color w:val="auto"/>
                <w:sz w:val="20"/>
                <w:szCs w:val="20"/>
                <w:lang w:val="en-US" w:eastAsia="zh-CN"/>
              </w:rPr>
              <w:t>生产过程：零部件采购--组装（机箱显示面板安装---功能模件安装----机箱背板安装---装置固定件系统紧固）→测试→交付→技术服务（客户要求→问题解决→客户确认）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生产过程不产生危废和工业废水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目前进行固体废弃物的性质：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可回收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一般工业垃圾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危险废弃物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可回收垃圾的处置：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自用为原材料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销售给废品回收方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由相应供方回收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一般垃圾的处置：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销售给废品回收方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由相应供方回收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查看与园区签订的《物业服务合同》，由园区负责共用部位的维护和管理、环境卫生、消防管理等等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岗位操作人员均经过岗位技能培训，生产过程佩戴劳保用品，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按操作要求，</w:t>
            </w:r>
            <w:r>
              <w:rPr>
                <w:rFonts w:hint="eastAsia"/>
                <w:lang w:val="en-US" w:eastAsia="zh-CN"/>
              </w:rPr>
              <w:t>现场消防设备完好，有定期进行点检。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现场查看生产现场安全警示标识张贴不全，安全操作规程未张贴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《应急准备和响应控制程序》、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《应急预案》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应急准备和响应的情况</w:t>
            </w:r>
            <w:r>
              <w:rPr>
                <w:rFonts w:hint="eastAsia"/>
                <w:color w:val="auto"/>
              </w:rPr>
              <w:t>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03"/>
              <w:gridCol w:w="1289"/>
              <w:gridCol w:w="2644"/>
              <w:gridCol w:w="11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00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紧急情况简述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性质</w:t>
                  </w:r>
                </w:p>
              </w:tc>
              <w:tc>
                <w:tcPr>
                  <w:tcW w:w="264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相应预案名称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0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火灾爆炸事件应急预案。</w:t>
                  </w:r>
                </w:p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时间：2021年9月22日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2644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火灾爆炸事件应急预案。</w:t>
                  </w:r>
                </w:p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</w:tbl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演练总结：通过本次演习，相关人员能达到自救和使用消防器材的目的。说明我司的相关培训和紧急应娈措施是有效的，同时我司的相关人员具备事故应急预案的要求， 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改进内容:</w:t>
            </w:r>
          </w:p>
          <w:p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1、个别人员对消防器材的使用不够熟练，影响救援的速度。</w:t>
            </w:r>
          </w:p>
          <w:p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highlight w:val="none"/>
                <w:lang w:val="en-US" w:eastAsia="zh-CN"/>
              </w:rPr>
              <w:t>2、行政部负责对本公司人员进行一次消防器材使用的培训。</w:t>
            </w:r>
          </w:p>
          <w:p>
            <w:p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对预案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定期评审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的日期：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每次演练后            </w:t>
            </w:r>
          </w:p>
          <w:p>
            <w:pPr>
              <w:rPr>
                <w:rFonts w:hint="eastAsia"/>
                <w:color w:val="auto"/>
                <w:highlight w:val="cyan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修订响应措施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的内容：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无               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适当时，向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未实施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</w:tbl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6D252"/>
    <w:multiLevelType w:val="singleLevel"/>
    <w:tmpl w:val="8A16D2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B20B3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203F02"/>
    <w:rsid w:val="0228580F"/>
    <w:rsid w:val="026A697D"/>
    <w:rsid w:val="028120F9"/>
    <w:rsid w:val="02C75A20"/>
    <w:rsid w:val="02F665F5"/>
    <w:rsid w:val="030171EA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4A33B9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5F5B26"/>
    <w:rsid w:val="067B702D"/>
    <w:rsid w:val="06994A8D"/>
    <w:rsid w:val="06AA7E97"/>
    <w:rsid w:val="06ED612A"/>
    <w:rsid w:val="0700448C"/>
    <w:rsid w:val="075669FE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478EC"/>
    <w:rsid w:val="0FBB3782"/>
    <w:rsid w:val="0FCF3CB9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220FC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37002"/>
    <w:rsid w:val="15B5072B"/>
    <w:rsid w:val="15BC540D"/>
    <w:rsid w:val="160D3D01"/>
    <w:rsid w:val="16210B83"/>
    <w:rsid w:val="16583F2B"/>
    <w:rsid w:val="16AB3CAD"/>
    <w:rsid w:val="16E341B9"/>
    <w:rsid w:val="16F10A78"/>
    <w:rsid w:val="17121F12"/>
    <w:rsid w:val="17226BDD"/>
    <w:rsid w:val="17324A2B"/>
    <w:rsid w:val="17446813"/>
    <w:rsid w:val="177551EA"/>
    <w:rsid w:val="178419DC"/>
    <w:rsid w:val="17856A76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94237C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9E53B3"/>
    <w:rsid w:val="1CB1322F"/>
    <w:rsid w:val="1CEB1474"/>
    <w:rsid w:val="1CF3399B"/>
    <w:rsid w:val="1CFD2AFE"/>
    <w:rsid w:val="1CFE7211"/>
    <w:rsid w:val="1D0B42B9"/>
    <w:rsid w:val="1D4C4D1B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822D0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97348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326C4E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86B66"/>
    <w:rsid w:val="2FE823A5"/>
    <w:rsid w:val="2FEA1C57"/>
    <w:rsid w:val="300172B8"/>
    <w:rsid w:val="30284CE9"/>
    <w:rsid w:val="309119F7"/>
    <w:rsid w:val="30945277"/>
    <w:rsid w:val="30C1548B"/>
    <w:rsid w:val="30C36ECA"/>
    <w:rsid w:val="30C71DD4"/>
    <w:rsid w:val="30DC7CB1"/>
    <w:rsid w:val="30ED30CC"/>
    <w:rsid w:val="31064141"/>
    <w:rsid w:val="3160302C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F92D63"/>
    <w:rsid w:val="35527F1F"/>
    <w:rsid w:val="357914C0"/>
    <w:rsid w:val="358A2871"/>
    <w:rsid w:val="35994264"/>
    <w:rsid w:val="35D721CD"/>
    <w:rsid w:val="36174333"/>
    <w:rsid w:val="36227621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C00FC8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7E7320"/>
    <w:rsid w:val="398946BB"/>
    <w:rsid w:val="399117DD"/>
    <w:rsid w:val="39972637"/>
    <w:rsid w:val="399B386E"/>
    <w:rsid w:val="39D7104B"/>
    <w:rsid w:val="39DC06E8"/>
    <w:rsid w:val="39DC598C"/>
    <w:rsid w:val="3A3E0D9F"/>
    <w:rsid w:val="3A5573DE"/>
    <w:rsid w:val="3AAB1306"/>
    <w:rsid w:val="3ABD0173"/>
    <w:rsid w:val="3AC172FF"/>
    <w:rsid w:val="3ACE23E2"/>
    <w:rsid w:val="3B0D014A"/>
    <w:rsid w:val="3B1757C4"/>
    <w:rsid w:val="3B227AA7"/>
    <w:rsid w:val="3B4241C0"/>
    <w:rsid w:val="3B5F0280"/>
    <w:rsid w:val="3BA338FF"/>
    <w:rsid w:val="3BAB4C5D"/>
    <w:rsid w:val="3BEE1D6F"/>
    <w:rsid w:val="3BF1473C"/>
    <w:rsid w:val="3C9B4992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0B6E47"/>
    <w:rsid w:val="3F532B3A"/>
    <w:rsid w:val="3F654598"/>
    <w:rsid w:val="3F8E03C8"/>
    <w:rsid w:val="3FBA023F"/>
    <w:rsid w:val="3FC72695"/>
    <w:rsid w:val="3FD70A70"/>
    <w:rsid w:val="403F19EE"/>
    <w:rsid w:val="40571F31"/>
    <w:rsid w:val="40760623"/>
    <w:rsid w:val="408B7234"/>
    <w:rsid w:val="40E27AF7"/>
    <w:rsid w:val="40F80D82"/>
    <w:rsid w:val="412A712C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D001FD"/>
    <w:rsid w:val="432A5E11"/>
    <w:rsid w:val="433B1167"/>
    <w:rsid w:val="4352128B"/>
    <w:rsid w:val="435F500F"/>
    <w:rsid w:val="43C730CD"/>
    <w:rsid w:val="44350F69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9FC7BE1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049FD"/>
    <w:rsid w:val="4CA74E41"/>
    <w:rsid w:val="4CA91B51"/>
    <w:rsid w:val="4CB62537"/>
    <w:rsid w:val="4CD2365B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275738"/>
    <w:rsid w:val="4F580E6B"/>
    <w:rsid w:val="4F594843"/>
    <w:rsid w:val="4F88590D"/>
    <w:rsid w:val="50040B50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904AA3"/>
    <w:rsid w:val="55C375DD"/>
    <w:rsid w:val="56156439"/>
    <w:rsid w:val="5663769D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8750F2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EE0342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556F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744854"/>
    <w:rsid w:val="61857CB5"/>
    <w:rsid w:val="61E20CCE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AB7953"/>
    <w:rsid w:val="63C65078"/>
    <w:rsid w:val="63C94ED7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69583D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954200"/>
    <w:rsid w:val="69B35A0D"/>
    <w:rsid w:val="69B677EB"/>
    <w:rsid w:val="69CC607C"/>
    <w:rsid w:val="69EA1163"/>
    <w:rsid w:val="69F96768"/>
    <w:rsid w:val="6A287F98"/>
    <w:rsid w:val="6A657B3D"/>
    <w:rsid w:val="6A965728"/>
    <w:rsid w:val="6AB40496"/>
    <w:rsid w:val="6ABD1D5E"/>
    <w:rsid w:val="6AC0289E"/>
    <w:rsid w:val="6AE34C59"/>
    <w:rsid w:val="6AF33939"/>
    <w:rsid w:val="6B0F60AF"/>
    <w:rsid w:val="6B795D62"/>
    <w:rsid w:val="6B894EA4"/>
    <w:rsid w:val="6BC747F5"/>
    <w:rsid w:val="6BD35CE4"/>
    <w:rsid w:val="6BE307F0"/>
    <w:rsid w:val="6BF66D35"/>
    <w:rsid w:val="6C1272FC"/>
    <w:rsid w:val="6C3014BE"/>
    <w:rsid w:val="6C5D414F"/>
    <w:rsid w:val="6C77423E"/>
    <w:rsid w:val="6C9C2F85"/>
    <w:rsid w:val="6CDE17FD"/>
    <w:rsid w:val="6CF21452"/>
    <w:rsid w:val="6D027E10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EBE4D81"/>
    <w:rsid w:val="6F1B2543"/>
    <w:rsid w:val="6F2E7208"/>
    <w:rsid w:val="6F435405"/>
    <w:rsid w:val="6F4810D8"/>
    <w:rsid w:val="6F6D2BAA"/>
    <w:rsid w:val="6F9A4A47"/>
    <w:rsid w:val="6FAB421B"/>
    <w:rsid w:val="6FDC792B"/>
    <w:rsid w:val="6FE4364F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9E57C3"/>
    <w:rsid w:val="72CD6505"/>
    <w:rsid w:val="72E42D1B"/>
    <w:rsid w:val="730C52E1"/>
    <w:rsid w:val="731E2778"/>
    <w:rsid w:val="734F0911"/>
    <w:rsid w:val="736054C4"/>
    <w:rsid w:val="736C572D"/>
    <w:rsid w:val="7387788B"/>
    <w:rsid w:val="73A422EB"/>
    <w:rsid w:val="73C80EF6"/>
    <w:rsid w:val="74103E55"/>
    <w:rsid w:val="74456E15"/>
    <w:rsid w:val="745B622A"/>
    <w:rsid w:val="752E2DA8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D330BF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047257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B33660"/>
    <w:rsid w:val="7CF04E00"/>
    <w:rsid w:val="7D41026F"/>
    <w:rsid w:val="7D532117"/>
    <w:rsid w:val="7D59343F"/>
    <w:rsid w:val="7D67119E"/>
    <w:rsid w:val="7DDF6DE6"/>
    <w:rsid w:val="7DE208A3"/>
    <w:rsid w:val="7E0A78B3"/>
    <w:rsid w:val="7E2912F3"/>
    <w:rsid w:val="7E6305EF"/>
    <w:rsid w:val="7E65058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2021-12-28T01:56:35Z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4A77A1690D184962BAA1B5E3E6A0B1A6</vt:lpwstr>
  </property>
</Properties>
</file>